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5BCE" w14:textId="6737CCD3" w:rsidR="00924880" w:rsidRPr="004160A1" w:rsidRDefault="003D2DF8" w:rsidP="004160A1">
      <w:pPr>
        <w:jc w:val="center"/>
        <w:rPr>
          <w:sz w:val="44"/>
          <w:szCs w:val="44"/>
        </w:rPr>
      </w:pPr>
      <w:r w:rsidRPr="004160A1">
        <w:rPr>
          <w:sz w:val="44"/>
          <w:szCs w:val="44"/>
        </w:rPr>
        <w:t>Inter</w:t>
      </w:r>
      <w:r w:rsidR="00F4798C" w:rsidRPr="004160A1">
        <w:rPr>
          <w:sz w:val="44"/>
          <w:szCs w:val="44"/>
        </w:rPr>
        <w:t>disciplinary Learning Rubric</w:t>
      </w:r>
    </w:p>
    <w:p w14:paraId="7C347616" w14:textId="0ADC3C17" w:rsidR="004160A1" w:rsidRDefault="004160A1" w:rsidP="00F4798C">
      <w:r>
        <w:t>Interdisciplinary learning strategies addressed in this rubric:</w:t>
      </w:r>
    </w:p>
    <w:p w14:paraId="6A0F3A0B" w14:textId="5E9B05A5" w:rsidR="00F4798C" w:rsidRDefault="00F4798C" w:rsidP="004160A1">
      <w:pPr>
        <w:pStyle w:val="ListParagraph"/>
        <w:numPr>
          <w:ilvl w:val="0"/>
          <w:numId w:val="2"/>
        </w:numPr>
      </w:pPr>
      <w:r>
        <w:t xml:space="preserve">Disciplinary Grounding - Understanding the ways in which knowledge is constructed, validated, and communicated in multiple disciplines or professions </w:t>
      </w:r>
    </w:p>
    <w:p w14:paraId="6532B6EC" w14:textId="77777777" w:rsidR="00F4798C" w:rsidRDefault="00F4798C" w:rsidP="004160A1">
      <w:pPr>
        <w:pStyle w:val="ListParagraph"/>
        <w:numPr>
          <w:ilvl w:val="0"/>
          <w:numId w:val="2"/>
        </w:numPr>
      </w:pPr>
      <w:r>
        <w:t>Perspective Taking - Analyzing problems and issues from these disciplinary perspectives and reflecting on personal biases and assumptions</w:t>
      </w:r>
    </w:p>
    <w:p w14:paraId="05994AE8" w14:textId="06D38ED5" w:rsidR="00F4798C" w:rsidRDefault="00F4798C" w:rsidP="004160A1">
      <w:pPr>
        <w:pStyle w:val="ListParagraph"/>
        <w:numPr>
          <w:ilvl w:val="0"/>
          <w:numId w:val="2"/>
        </w:numPr>
      </w:pPr>
      <w:r>
        <w:t>Integration - Generating new understanding that would not have been possible using a single discipline and organizing these insights</w:t>
      </w: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1766"/>
        <w:gridCol w:w="3134"/>
        <w:gridCol w:w="3601"/>
        <w:gridCol w:w="3479"/>
        <w:gridCol w:w="1246"/>
        <w:gridCol w:w="1259"/>
      </w:tblGrid>
      <w:tr w:rsidR="00814A1E" w:rsidRPr="00F11C72" w14:paraId="3C248569" w14:textId="77777777" w:rsidTr="00814A1E">
        <w:trPr>
          <w:trHeight w:val="890"/>
        </w:trPr>
        <w:tc>
          <w:tcPr>
            <w:tcW w:w="610" w:type="pct"/>
            <w:shd w:val="clear" w:color="auto" w:fill="auto"/>
          </w:tcPr>
          <w:p w14:paraId="16DBECCF" w14:textId="6B9AABA1" w:rsidR="008F0FB8" w:rsidRPr="00F11C72" w:rsidRDefault="008F0FB8">
            <w:pPr>
              <w:rPr>
                <w:rFonts w:cstheme="minorHAnsi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E188949" w14:textId="62555F96" w:rsidR="008F0FB8" w:rsidRPr="00924880" w:rsidRDefault="008F0FB8" w:rsidP="00924880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Level 1: Novice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5E575EF4" w14:textId="2172619F" w:rsidR="008F0FB8" w:rsidRPr="00924880" w:rsidRDefault="008F0FB8" w:rsidP="00924880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Level 2: Intermediate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58E2A1A3" w14:textId="34939BC2" w:rsidR="008F0FB8" w:rsidRPr="00924880" w:rsidRDefault="008F0FB8" w:rsidP="00924880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Level 3: Mastery</w:t>
            </w:r>
          </w:p>
        </w:tc>
        <w:tc>
          <w:tcPr>
            <w:tcW w:w="430" w:type="pct"/>
          </w:tcPr>
          <w:p w14:paraId="2F023925" w14:textId="77777777" w:rsidR="00814A1E" w:rsidRDefault="00814A1E" w:rsidP="00924880">
            <w:pPr>
              <w:jc w:val="center"/>
              <w:rPr>
                <w:rFonts w:cstheme="minorHAnsi"/>
                <w:b/>
                <w:bCs/>
              </w:rPr>
            </w:pPr>
          </w:p>
          <w:p w14:paraId="79DB0D45" w14:textId="32CAF413" w:rsidR="008F0FB8" w:rsidRPr="00924880" w:rsidRDefault="00814A1E" w:rsidP="009248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95FD2BE" w14:textId="5BC6EF66" w:rsidR="008F0FB8" w:rsidRPr="00924880" w:rsidRDefault="008F0FB8" w:rsidP="00924880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Not applicable to the assignment</w:t>
            </w:r>
          </w:p>
        </w:tc>
      </w:tr>
      <w:tr w:rsidR="00814A1E" w:rsidRPr="00F11C72" w14:paraId="3CB129D3" w14:textId="77777777" w:rsidTr="00814A1E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6DADCB" w14:textId="34557014" w:rsidR="00814A1E" w:rsidRPr="00924880" w:rsidRDefault="00814A1E" w:rsidP="00DF0B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Disciplinary Grounding </w:t>
            </w:r>
          </w:p>
        </w:tc>
      </w:tr>
      <w:tr w:rsidR="00814A1E" w:rsidRPr="00F11C72" w14:paraId="1F1A4441" w14:textId="77777777" w:rsidTr="00814A1E">
        <w:tc>
          <w:tcPr>
            <w:tcW w:w="610" w:type="pct"/>
            <w:shd w:val="clear" w:color="auto" w:fill="auto"/>
            <w:vAlign w:val="center"/>
          </w:tcPr>
          <w:p w14:paraId="6769807F" w14:textId="6A491905" w:rsidR="008F0FB8" w:rsidRPr="00F11C72" w:rsidRDefault="008F0FB8" w:rsidP="00533E11">
            <w:pPr>
              <w:rPr>
                <w:rFonts w:cstheme="minorHAnsi"/>
              </w:rPr>
            </w:pPr>
            <w:r>
              <w:rPr>
                <w:rFonts w:cstheme="minorHAnsi"/>
              </w:rPr>
              <w:t>IDL1. Disciplinary Grounding: content knowledge</w:t>
            </w:r>
          </w:p>
        </w:tc>
        <w:tc>
          <w:tcPr>
            <w:tcW w:w="1082" w:type="pct"/>
            <w:shd w:val="clear" w:color="auto" w:fill="auto"/>
          </w:tcPr>
          <w:p w14:paraId="021AA125" w14:textId="28AB6182" w:rsidR="008F0FB8" w:rsidRDefault="008F0FB8" w:rsidP="00F11C72">
            <w:pPr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A disciplinary knowledge base is not readily discernable: some ideas and information may be provided</w:t>
            </w:r>
            <w:r w:rsidR="006655A7">
              <w:rPr>
                <w:rFonts w:cstheme="minorHAnsi"/>
                <w:kern w:val="0"/>
              </w:rPr>
              <w:t>,</w:t>
            </w:r>
            <w:r>
              <w:rPr>
                <w:rFonts w:cstheme="minorHAnsi"/>
                <w:kern w:val="0"/>
              </w:rPr>
              <w:t xml:space="preserve"> but the connection to a discipline is not clear or is incorrect.</w:t>
            </w:r>
          </w:p>
          <w:p w14:paraId="557373BC" w14:textId="53612429" w:rsidR="008F0FB8" w:rsidRPr="00F11C72" w:rsidRDefault="008F0FB8" w:rsidP="00F11C72">
            <w:pPr>
              <w:rPr>
                <w:rFonts w:cstheme="minorHAnsi"/>
                <w:kern w:val="0"/>
              </w:rPr>
            </w:pPr>
          </w:p>
        </w:tc>
        <w:tc>
          <w:tcPr>
            <w:tcW w:w="1243" w:type="pct"/>
            <w:shd w:val="clear" w:color="auto" w:fill="auto"/>
          </w:tcPr>
          <w:p w14:paraId="1C6125D6" w14:textId="0CC46130" w:rsidR="008F0FB8" w:rsidRDefault="008F0FB8" w:rsidP="00F11C72">
            <w:pPr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Disciplinary concepts/theories/perspectives are introduced</w:t>
            </w:r>
            <w:r w:rsidR="00DF0C64">
              <w:rPr>
                <w:rFonts w:cstheme="minorHAnsi"/>
                <w:kern w:val="0"/>
              </w:rPr>
              <w:t>,</w:t>
            </w:r>
            <w:r>
              <w:rPr>
                <w:rFonts w:cstheme="minorHAnsi"/>
                <w:kern w:val="0"/>
              </w:rPr>
              <w:t xml:space="preserve"> but key claims for why the information is relevant are not supported with concrete disciplinary examples.</w:t>
            </w:r>
          </w:p>
          <w:p w14:paraId="33A2AC1E" w14:textId="77777777" w:rsidR="008F0FB8" w:rsidRDefault="008F0FB8" w:rsidP="00F11C72">
            <w:pPr>
              <w:rPr>
                <w:rFonts w:cstheme="minorHAnsi"/>
                <w:kern w:val="0"/>
              </w:rPr>
            </w:pPr>
          </w:p>
          <w:p w14:paraId="492BC6D7" w14:textId="4A18C74D" w:rsidR="008F0FB8" w:rsidRPr="00F11C72" w:rsidRDefault="008F0FB8" w:rsidP="00F11C72">
            <w:pPr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Disciplinary misconceptions may be present.</w:t>
            </w:r>
          </w:p>
        </w:tc>
        <w:tc>
          <w:tcPr>
            <w:tcW w:w="1201" w:type="pct"/>
            <w:shd w:val="clear" w:color="auto" w:fill="auto"/>
          </w:tcPr>
          <w:p w14:paraId="5D7A6D39" w14:textId="64CFF671" w:rsidR="008F0FB8" w:rsidRDefault="008F0FB8" w:rsidP="00F11C72">
            <w:pPr>
              <w:rPr>
                <w:rFonts w:cstheme="minorHAnsi"/>
              </w:rPr>
            </w:pPr>
            <w:r>
              <w:rPr>
                <w:rFonts w:cstheme="minorHAnsi"/>
              </w:rPr>
              <w:t>Concepts/theories/perspectives are used in accordance with the disciplines.</w:t>
            </w:r>
          </w:p>
          <w:p w14:paraId="76E87A1F" w14:textId="77777777" w:rsidR="008F0FB8" w:rsidRDefault="008F0FB8" w:rsidP="00F11C72">
            <w:pPr>
              <w:rPr>
                <w:rFonts w:cstheme="minorHAnsi"/>
              </w:rPr>
            </w:pPr>
          </w:p>
          <w:p w14:paraId="465DAC57" w14:textId="02B1B7E5" w:rsidR="008F0FB8" w:rsidRDefault="008F0FB8" w:rsidP="00F11C72">
            <w:pPr>
              <w:rPr>
                <w:rFonts w:cstheme="minorHAnsi"/>
              </w:rPr>
            </w:pPr>
            <w:r>
              <w:rPr>
                <w:rFonts w:cstheme="minorHAnsi"/>
              </w:rPr>
              <w:t>Claims for why the information is relevant are consistently supported with examples from the appropriate discipline(s).</w:t>
            </w:r>
          </w:p>
          <w:p w14:paraId="2F781440" w14:textId="31FE7D62" w:rsidR="008F0FB8" w:rsidRPr="00F11C72" w:rsidRDefault="008F0FB8" w:rsidP="00F11C72">
            <w:pPr>
              <w:rPr>
                <w:rFonts w:cstheme="minorHAnsi"/>
              </w:rPr>
            </w:pPr>
          </w:p>
        </w:tc>
        <w:tc>
          <w:tcPr>
            <w:tcW w:w="430" w:type="pct"/>
          </w:tcPr>
          <w:p w14:paraId="3C78E16A" w14:textId="77777777" w:rsidR="008F0FB8" w:rsidRPr="00F11C72" w:rsidRDefault="008F0FB8" w:rsidP="00F11C72">
            <w:pPr>
              <w:rPr>
                <w:rFonts w:cstheme="minorHAnsi"/>
              </w:rPr>
            </w:pPr>
          </w:p>
        </w:tc>
        <w:tc>
          <w:tcPr>
            <w:tcW w:w="435" w:type="pct"/>
            <w:shd w:val="clear" w:color="auto" w:fill="auto"/>
          </w:tcPr>
          <w:p w14:paraId="2CADB58A" w14:textId="1CC7EA6C" w:rsidR="008F0FB8" w:rsidRPr="00F11C72" w:rsidRDefault="008F0FB8" w:rsidP="00F11C72">
            <w:pPr>
              <w:rPr>
                <w:rFonts w:cstheme="minorHAnsi"/>
              </w:rPr>
            </w:pPr>
          </w:p>
        </w:tc>
      </w:tr>
      <w:tr w:rsidR="00814A1E" w:rsidRPr="00F11C72" w14:paraId="00093101" w14:textId="77777777" w:rsidTr="00814A1E">
        <w:tc>
          <w:tcPr>
            <w:tcW w:w="610" w:type="pct"/>
            <w:shd w:val="clear" w:color="auto" w:fill="auto"/>
            <w:vAlign w:val="center"/>
          </w:tcPr>
          <w:p w14:paraId="23032292" w14:textId="7B97CC2C" w:rsidR="008F0FB8" w:rsidRPr="00F11C72" w:rsidRDefault="008F0FB8" w:rsidP="00533E11">
            <w:pPr>
              <w:rPr>
                <w:rFonts w:cstheme="minorHAnsi"/>
              </w:rPr>
            </w:pPr>
            <w:r>
              <w:rPr>
                <w:rFonts w:cstheme="minorHAnsi"/>
              </w:rPr>
              <w:t>IDL2. Disciplinary Grounding: methods</w:t>
            </w:r>
          </w:p>
        </w:tc>
        <w:tc>
          <w:tcPr>
            <w:tcW w:w="1082" w:type="pct"/>
            <w:shd w:val="clear" w:color="auto" w:fill="auto"/>
          </w:tcPr>
          <w:p w14:paraId="4A51F3AF" w14:textId="1C5697AF" w:rsidR="008F0FB8" w:rsidRPr="00F11C72" w:rsidRDefault="008F0FB8" w:rsidP="00F11C72">
            <w:pPr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There is little to no evidence of understanding of disciplinary methods.</w:t>
            </w:r>
          </w:p>
        </w:tc>
        <w:tc>
          <w:tcPr>
            <w:tcW w:w="1243" w:type="pct"/>
            <w:shd w:val="clear" w:color="auto" w:fill="auto"/>
          </w:tcPr>
          <w:p w14:paraId="44FE66B4" w14:textId="255A10C2" w:rsidR="008F0FB8" w:rsidRPr="00F11C72" w:rsidRDefault="008F0FB8" w:rsidP="00F11C72">
            <w:pPr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Understanding of disciplinary methods is evident but may be oversimplified or include misconceptions. </w:t>
            </w:r>
          </w:p>
        </w:tc>
        <w:tc>
          <w:tcPr>
            <w:tcW w:w="1201" w:type="pct"/>
            <w:shd w:val="clear" w:color="auto" w:fill="auto"/>
          </w:tcPr>
          <w:p w14:paraId="6EB6D0F8" w14:textId="74CEFFC7" w:rsidR="008F0FB8" w:rsidRPr="00F11C72" w:rsidRDefault="008F0FB8" w:rsidP="00F11C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of disciplinary methods is evident and correct. </w:t>
            </w:r>
          </w:p>
        </w:tc>
        <w:tc>
          <w:tcPr>
            <w:tcW w:w="430" w:type="pct"/>
          </w:tcPr>
          <w:p w14:paraId="01273D0D" w14:textId="77777777" w:rsidR="008F0FB8" w:rsidRPr="00F11C72" w:rsidRDefault="008F0FB8" w:rsidP="00F11C72">
            <w:pPr>
              <w:rPr>
                <w:rFonts w:cstheme="minorHAnsi"/>
              </w:rPr>
            </w:pPr>
          </w:p>
        </w:tc>
        <w:tc>
          <w:tcPr>
            <w:tcW w:w="435" w:type="pct"/>
            <w:shd w:val="clear" w:color="auto" w:fill="auto"/>
          </w:tcPr>
          <w:p w14:paraId="767BA22B" w14:textId="701C1A3B" w:rsidR="008F0FB8" w:rsidRPr="00F11C72" w:rsidRDefault="008F0FB8" w:rsidP="00F11C72">
            <w:pPr>
              <w:rPr>
                <w:rFonts w:cstheme="minorHAnsi"/>
              </w:rPr>
            </w:pPr>
          </w:p>
        </w:tc>
      </w:tr>
      <w:tr w:rsidR="00814A1E" w:rsidRPr="00F11C72" w14:paraId="3BFC6E65" w14:textId="77777777" w:rsidTr="00814A1E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FCFA511" w14:textId="2703D713" w:rsidR="00814A1E" w:rsidRPr="00F11C72" w:rsidRDefault="00814A1E" w:rsidP="00DF0B74">
            <w:pPr>
              <w:rPr>
                <w:rFonts w:cstheme="minorHAnsi"/>
              </w:rPr>
            </w:pPr>
            <w:r>
              <w:rPr>
                <w:rFonts w:cstheme="minorHAnsi"/>
              </w:rPr>
              <w:t>Perspective Taking</w:t>
            </w:r>
          </w:p>
        </w:tc>
      </w:tr>
      <w:tr w:rsidR="00814A1E" w:rsidRPr="00F11C72" w14:paraId="66D635E9" w14:textId="77777777" w:rsidTr="00814A1E">
        <w:tc>
          <w:tcPr>
            <w:tcW w:w="610" w:type="pct"/>
            <w:shd w:val="clear" w:color="auto" w:fill="auto"/>
            <w:vAlign w:val="center"/>
          </w:tcPr>
          <w:p w14:paraId="78C50094" w14:textId="07A07ABB" w:rsidR="008F0FB8" w:rsidRPr="00F11C72" w:rsidRDefault="008F0FB8" w:rsidP="00533E11">
            <w:pPr>
              <w:rPr>
                <w:rFonts w:cstheme="minorHAnsi"/>
              </w:rPr>
            </w:pPr>
            <w:r>
              <w:rPr>
                <w:rFonts w:cstheme="minorHAnsi"/>
              </w:rPr>
              <w:t>IDL3. Perspective Taking: other viewpoints</w:t>
            </w:r>
          </w:p>
        </w:tc>
        <w:tc>
          <w:tcPr>
            <w:tcW w:w="1082" w:type="pct"/>
            <w:shd w:val="clear" w:color="auto" w:fill="auto"/>
          </w:tcPr>
          <w:p w14:paraId="38B41551" w14:textId="05CCD95C" w:rsidR="008F0FB8" w:rsidRDefault="008F0FB8" w:rsidP="006C64BA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Viewpoints other than one’s own are not included in the work.</w:t>
            </w:r>
          </w:p>
        </w:tc>
        <w:tc>
          <w:tcPr>
            <w:tcW w:w="1243" w:type="pct"/>
            <w:shd w:val="clear" w:color="auto" w:fill="auto"/>
          </w:tcPr>
          <w:p w14:paraId="6FA29F76" w14:textId="62C2F4C5" w:rsidR="008F0FB8" w:rsidRDefault="008F0FB8" w:rsidP="006C64BA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Viewpoints other than one’s own are included but superficially (i.e., other perspectives are not thoroughly discussed and may seem less important than one’s own).</w:t>
            </w:r>
          </w:p>
        </w:tc>
        <w:tc>
          <w:tcPr>
            <w:tcW w:w="1201" w:type="pct"/>
            <w:shd w:val="clear" w:color="auto" w:fill="auto"/>
          </w:tcPr>
          <w:p w14:paraId="4CCC664E" w14:textId="4BB61D16" w:rsidR="008F0FB8" w:rsidRDefault="008F0FB8" w:rsidP="006C64BA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Viewpoints other than one’s own are presented and discussed thoroughly so they seem as valuable as one’s own.</w:t>
            </w:r>
          </w:p>
        </w:tc>
        <w:tc>
          <w:tcPr>
            <w:tcW w:w="430" w:type="pct"/>
          </w:tcPr>
          <w:p w14:paraId="3AE259B0" w14:textId="77777777" w:rsidR="008F0FB8" w:rsidRPr="00F11C72" w:rsidRDefault="008F0FB8" w:rsidP="006C64BA">
            <w:pPr>
              <w:rPr>
                <w:rFonts w:cstheme="minorHAnsi"/>
              </w:rPr>
            </w:pPr>
          </w:p>
        </w:tc>
        <w:tc>
          <w:tcPr>
            <w:tcW w:w="435" w:type="pct"/>
            <w:shd w:val="clear" w:color="auto" w:fill="auto"/>
          </w:tcPr>
          <w:p w14:paraId="587DA2AA" w14:textId="4C858F96" w:rsidR="008F0FB8" w:rsidRPr="00F11C72" w:rsidRDefault="008F0FB8" w:rsidP="006C64BA">
            <w:pPr>
              <w:rPr>
                <w:rFonts w:cstheme="minorHAnsi"/>
              </w:rPr>
            </w:pPr>
          </w:p>
        </w:tc>
      </w:tr>
      <w:tr w:rsidR="00814A1E" w:rsidRPr="00F11C72" w14:paraId="587762F6" w14:textId="77777777" w:rsidTr="00814A1E">
        <w:tc>
          <w:tcPr>
            <w:tcW w:w="610" w:type="pct"/>
            <w:shd w:val="clear" w:color="auto" w:fill="auto"/>
            <w:vAlign w:val="center"/>
          </w:tcPr>
          <w:p w14:paraId="4230935E" w14:textId="44181904" w:rsidR="008F0FB8" w:rsidRPr="00F11C72" w:rsidRDefault="008F0FB8" w:rsidP="00533E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IDL4. </w:t>
            </w:r>
            <w:r w:rsidRPr="00F11C72">
              <w:rPr>
                <w:rFonts w:cstheme="minorHAnsi"/>
              </w:rPr>
              <w:t>Perspective taking: personal biases and assumptions</w:t>
            </w:r>
          </w:p>
          <w:p w14:paraId="7A6B59A3" w14:textId="630FA303" w:rsidR="008F0FB8" w:rsidRPr="00F11C72" w:rsidRDefault="008F0FB8" w:rsidP="00533E11">
            <w:pPr>
              <w:rPr>
                <w:rFonts w:cstheme="minorHAnsi"/>
              </w:rPr>
            </w:pPr>
          </w:p>
        </w:tc>
        <w:tc>
          <w:tcPr>
            <w:tcW w:w="1082" w:type="pct"/>
            <w:shd w:val="clear" w:color="auto" w:fill="auto"/>
          </w:tcPr>
          <w:p w14:paraId="4D317922" w14:textId="2885497A" w:rsidR="008F0FB8" w:rsidRPr="00F11C72" w:rsidRDefault="008F0FB8" w:rsidP="00F11C72">
            <w:pPr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There is no discussion of</w:t>
            </w:r>
            <w:r w:rsidRPr="00F11C72">
              <w:rPr>
                <w:rFonts w:cstheme="minorHAnsi"/>
                <w:kern w:val="0"/>
              </w:rPr>
              <w:t xml:space="preserve"> one’s own biases and/or assumptions around the relevant disciplines.</w:t>
            </w:r>
          </w:p>
          <w:p w14:paraId="035AAAF8" w14:textId="3033427C" w:rsidR="008F0FB8" w:rsidRPr="00F11C72" w:rsidRDefault="008F0FB8" w:rsidP="00F11C72">
            <w:pPr>
              <w:rPr>
                <w:rFonts w:cstheme="minorHAnsi"/>
                <w:kern w:val="0"/>
              </w:rPr>
            </w:pPr>
          </w:p>
        </w:tc>
        <w:tc>
          <w:tcPr>
            <w:tcW w:w="1243" w:type="pct"/>
            <w:shd w:val="clear" w:color="auto" w:fill="auto"/>
          </w:tcPr>
          <w:p w14:paraId="441D9A03" w14:textId="39E6CD41" w:rsidR="008F0FB8" w:rsidRPr="00F11C72" w:rsidRDefault="008F0FB8" w:rsidP="00F11C72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F11C72">
              <w:rPr>
                <w:rFonts w:cstheme="minorHAnsi"/>
                <w:kern w:val="0"/>
              </w:rPr>
              <w:t>There is some discussion of one’s own biases and/or assumptions around the relevant discipline but</w:t>
            </w:r>
            <w:r w:rsidR="002A2658">
              <w:rPr>
                <w:rFonts w:cstheme="minorHAnsi"/>
                <w:kern w:val="0"/>
              </w:rPr>
              <w:t xml:space="preserve"> this</w:t>
            </w:r>
            <w:r w:rsidRPr="00F11C72">
              <w:rPr>
                <w:rFonts w:cstheme="minorHAnsi"/>
                <w:kern w:val="0"/>
              </w:rPr>
              <w:t xml:space="preserve"> is superficial (i.e.</w:t>
            </w:r>
            <w:r>
              <w:rPr>
                <w:rFonts w:cstheme="minorHAnsi"/>
                <w:kern w:val="0"/>
              </w:rPr>
              <w:t>,</w:t>
            </w:r>
            <w:r w:rsidRPr="00F11C72">
              <w:rPr>
                <w:rFonts w:cstheme="minorHAnsi"/>
                <w:kern w:val="0"/>
              </w:rPr>
              <w:t xml:space="preserve"> the student seems reluctant to temporarily set aside his/her own viewpoints</w:t>
            </w:r>
            <w:r>
              <w:rPr>
                <w:rFonts w:cstheme="minorHAnsi"/>
                <w:kern w:val="0"/>
              </w:rPr>
              <w:t>.</w:t>
            </w:r>
          </w:p>
          <w:p w14:paraId="485D9D2C" w14:textId="1F6F9F4D" w:rsidR="008F0FB8" w:rsidRPr="000C5769" w:rsidRDefault="008F0FB8" w:rsidP="000C5769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F11C72">
              <w:rPr>
                <w:rFonts w:cstheme="minorHAnsi"/>
                <w:kern w:val="0"/>
              </w:rPr>
              <w:t>and beliefs).</w:t>
            </w:r>
          </w:p>
        </w:tc>
        <w:tc>
          <w:tcPr>
            <w:tcW w:w="1201" w:type="pct"/>
            <w:shd w:val="clear" w:color="auto" w:fill="auto"/>
          </w:tcPr>
          <w:p w14:paraId="4A6379D9" w14:textId="5A0BD0DC" w:rsidR="008F0FB8" w:rsidRPr="000C5769" w:rsidRDefault="008F0FB8" w:rsidP="000C5769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F11C72">
              <w:rPr>
                <w:rFonts w:cstheme="minorHAnsi"/>
                <w:kern w:val="0"/>
              </w:rPr>
              <w:t>There is evidence of awareness of one’s own biases and assumptions around the relevant disciplines</w:t>
            </w:r>
            <w:r w:rsidR="00A87D62">
              <w:rPr>
                <w:rFonts w:cstheme="minorHAnsi"/>
                <w:kern w:val="0"/>
              </w:rPr>
              <w:t>,</w:t>
            </w:r>
            <w:r w:rsidRPr="00F11C72">
              <w:rPr>
                <w:rFonts w:cstheme="minorHAnsi"/>
                <w:kern w:val="0"/>
              </w:rPr>
              <w:t xml:space="preserve"> and they are discussed thoroughly (i.e.</w:t>
            </w:r>
            <w:r>
              <w:rPr>
                <w:rFonts w:cstheme="minorHAnsi"/>
                <w:kern w:val="0"/>
              </w:rPr>
              <w:t>,</w:t>
            </w:r>
            <w:r w:rsidRPr="00F11C72">
              <w:rPr>
                <w:rFonts w:cstheme="minorHAnsi"/>
                <w:kern w:val="0"/>
              </w:rPr>
              <w:t xml:space="preserve"> there is no sense of reluctance to set aside one’s own viewpoints and beliefs)</w:t>
            </w:r>
          </w:p>
        </w:tc>
        <w:tc>
          <w:tcPr>
            <w:tcW w:w="430" w:type="pct"/>
          </w:tcPr>
          <w:p w14:paraId="22D1DB80" w14:textId="77777777" w:rsidR="008F0FB8" w:rsidRDefault="008F0FB8" w:rsidP="00F11C72">
            <w:pPr>
              <w:rPr>
                <w:rFonts w:cstheme="minorHAnsi"/>
              </w:rPr>
            </w:pPr>
          </w:p>
        </w:tc>
        <w:tc>
          <w:tcPr>
            <w:tcW w:w="435" w:type="pct"/>
            <w:shd w:val="clear" w:color="auto" w:fill="auto"/>
          </w:tcPr>
          <w:p w14:paraId="03ACDD5D" w14:textId="336AC9F0" w:rsidR="008F0FB8" w:rsidRDefault="008F0FB8" w:rsidP="00F11C72">
            <w:pPr>
              <w:rPr>
                <w:rFonts w:cstheme="minorHAnsi"/>
              </w:rPr>
            </w:pPr>
          </w:p>
          <w:p w14:paraId="4F28BD5F" w14:textId="77777777" w:rsidR="008F0FB8" w:rsidRDefault="008F0FB8" w:rsidP="00F11C72">
            <w:pPr>
              <w:rPr>
                <w:rFonts w:cstheme="minorHAnsi"/>
              </w:rPr>
            </w:pPr>
          </w:p>
          <w:p w14:paraId="35EBBAAE" w14:textId="77777777" w:rsidR="008F0FB8" w:rsidRDefault="008F0FB8" w:rsidP="00F11C72">
            <w:pPr>
              <w:rPr>
                <w:rFonts w:cstheme="minorHAnsi"/>
              </w:rPr>
            </w:pPr>
          </w:p>
          <w:p w14:paraId="622FB9C2" w14:textId="77777777" w:rsidR="008F0FB8" w:rsidRDefault="008F0FB8" w:rsidP="00F11C72">
            <w:pPr>
              <w:rPr>
                <w:rFonts w:cstheme="minorHAnsi"/>
              </w:rPr>
            </w:pPr>
          </w:p>
          <w:p w14:paraId="0DCD6211" w14:textId="77777777" w:rsidR="008F0FB8" w:rsidRDefault="008F0FB8" w:rsidP="00F11C72">
            <w:pPr>
              <w:rPr>
                <w:rFonts w:cstheme="minorHAnsi"/>
              </w:rPr>
            </w:pPr>
          </w:p>
          <w:p w14:paraId="46BD0353" w14:textId="77777777" w:rsidR="008F0FB8" w:rsidRDefault="008F0FB8" w:rsidP="00F11C72">
            <w:pPr>
              <w:rPr>
                <w:rFonts w:cstheme="minorHAnsi"/>
              </w:rPr>
            </w:pPr>
          </w:p>
          <w:p w14:paraId="65466401" w14:textId="77777777" w:rsidR="008F0FB8" w:rsidRPr="00F11C72" w:rsidRDefault="008F0FB8" w:rsidP="00F11C72">
            <w:pPr>
              <w:rPr>
                <w:rFonts w:cstheme="minorHAnsi"/>
              </w:rPr>
            </w:pPr>
          </w:p>
        </w:tc>
      </w:tr>
      <w:tr w:rsidR="00814A1E" w:rsidRPr="00F11C72" w14:paraId="2CD46A8E" w14:textId="77777777" w:rsidTr="00814A1E">
        <w:tc>
          <w:tcPr>
            <w:tcW w:w="610" w:type="pct"/>
            <w:shd w:val="clear" w:color="auto" w:fill="auto"/>
          </w:tcPr>
          <w:p w14:paraId="346A7CF6" w14:textId="77777777" w:rsidR="008F0FB8" w:rsidRPr="00F11C72" w:rsidRDefault="008F0FB8" w:rsidP="008F3DA6">
            <w:pPr>
              <w:rPr>
                <w:rFonts w:cstheme="minorHAnsi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448CBE5" w14:textId="77777777" w:rsidR="008F0FB8" w:rsidRPr="00924880" w:rsidRDefault="008F0FB8" w:rsidP="008F3DA6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Level 1: Novice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27C30AED" w14:textId="77777777" w:rsidR="008F0FB8" w:rsidRPr="00924880" w:rsidRDefault="008F0FB8" w:rsidP="008F3DA6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Level 2: Intermediate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0086EDF5" w14:textId="77777777" w:rsidR="008F0FB8" w:rsidRPr="00924880" w:rsidRDefault="008F0FB8" w:rsidP="008F3DA6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Level 3: Mastery</w:t>
            </w:r>
          </w:p>
        </w:tc>
        <w:tc>
          <w:tcPr>
            <w:tcW w:w="430" w:type="pct"/>
          </w:tcPr>
          <w:p w14:paraId="58A09FDE" w14:textId="77777777" w:rsidR="008F0FB8" w:rsidRDefault="008F0FB8" w:rsidP="008F3DA6">
            <w:pPr>
              <w:jc w:val="center"/>
              <w:rPr>
                <w:rFonts w:cstheme="minorHAnsi"/>
                <w:b/>
                <w:bCs/>
              </w:rPr>
            </w:pPr>
          </w:p>
          <w:p w14:paraId="484C587F" w14:textId="77777777" w:rsidR="00814A1E" w:rsidRDefault="00814A1E" w:rsidP="008F3DA6">
            <w:pPr>
              <w:jc w:val="center"/>
              <w:rPr>
                <w:rFonts w:cstheme="minorHAnsi"/>
                <w:b/>
                <w:bCs/>
              </w:rPr>
            </w:pPr>
          </w:p>
          <w:p w14:paraId="4AFE4559" w14:textId="0112C641" w:rsidR="00814A1E" w:rsidRPr="00924880" w:rsidRDefault="00814A1E" w:rsidP="008F3D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3638AE6" w14:textId="2003C08B" w:rsidR="008F0FB8" w:rsidRPr="00924880" w:rsidRDefault="008F0FB8" w:rsidP="008F3DA6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Not applicable to the assignment</w:t>
            </w:r>
          </w:p>
        </w:tc>
      </w:tr>
      <w:tr w:rsidR="00814A1E" w:rsidRPr="00F11C72" w14:paraId="6C6C3900" w14:textId="77777777" w:rsidTr="00814A1E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6FB9412" w14:textId="002B345F" w:rsidR="00814A1E" w:rsidRPr="00F11C72" w:rsidRDefault="00814A1E" w:rsidP="00DF0B74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Integration</w:t>
            </w:r>
          </w:p>
        </w:tc>
      </w:tr>
      <w:tr w:rsidR="00814A1E" w:rsidRPr="00F11C72" w14:paraId="6E71DD0F" w14:textId="77777777" w:rsidTr="00814A1E">
        <w:tc>
          <w:tcPr>
            <w:tcW w:w="610" w:type="pct"/>
            <w:shd w:val="clear" w:color="auto" w:fill="auto"/>
            <w:vAlign w:val="center"/>
          </w:tcPr>
          <w:p w14:paraId="22AED19B" w14:textId="5FEAEBF5" w:rsidR="008F0FB8" w:rsidRPr="00F11C72" w:rsidRDefault="008F0FB8" w:rsidP="00533E11">
            <w:pPr>
              <w:rPr>
                <w:rFonts w:cstheme="minorHAnsi"/>
              </w:rPr>
            </w:pPr>
            <w:r>
              <w:rPr>
                <w:rFonts w:cstheme="minorHAnsi"/>
              </w:rPr>
              <w:t>IDL5. Integration: analysis</w:t>
            </w:r>
          </w:p>
        </w:tc>
        <w:tc>
          <w:tcPr>
            <w:tcW w:w="1082" w:type="pct"/>
            <w:shd w:val="clear" w:color="auto" w:fill="auto"/>
          </w:tcPr>
          <w:p w14:paraId="27ABECB2" w14:textId="21296179" w:rsidR="008F0FB8" w:rsidRPr="006F1D6B" w:rsidRDefault="008F0FB8" w:rsidP="006F1D6B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Although the insights are not grounded in the presented disciplines or are incorrect (as indicated by a Level 1 score on Disciplinary Grounding: methods)</w:t>
            </w:r>
            <w:r w:rsidR="009A337B">
              <w:rPr>
                <w:rFonts w:cstheme="minorHAnsi"/>
                <w:kern w:val="0"/>
              </w:rPr>
              <w:t>,</w:t>
            </w:r>
            <w:r>
              <w:rPr>
                <w:rFonts w:cstheme="minorHAnsi"/>
                <w:kern w:val="0"/>
              </w:rPr>
              <w:t xml:space="preserve"> some attempt at analysis is made. There is an attempt</w:t>
            </w:r>
            <w:r w:rsidRPr="006F1D6B">
              <w:rPr>
                <w:rFonts w:cstheme="minorHAnsi"/>
                <w:kern w:val="0"/>
              </w:rPr>
              <w:t xml:space="preserve"> to discuss </w:t>
            </w:r>
            <w:r w:rsidR="009A337B">
              <w:rPr>
                <w:rFonts w:cstheme="minorHAnsi"/>
                <w:kern w:val="0"/>
              </w:rPr>
              <w:t xml:space="preserve">the </w:t>
            </w:r>
            <w:r w:rsidRPr="006F1D6B">
              <w:rPr>
                <w:rFonts w:cstheme="minorHAnsi"/>
                <w:kern w:val="0"/>
              </w:rPr>
              <w:t>strengths and weaknesses of insights</w:t>
            </w:r>
            <w:r>
              <w:rPr>
                <w:rFonts w:cstheme="minorHAnsi"/>
                <w:kern w:val="0"/>
              </w:rPr>
              <w:t xml:space="preserve"> and/or </w:t>
            </w:r>
            <w:r w:rsidRPr="006F1D6B">
              <w:rPr>
                <w:rFonts w:cstheme="minorHAnsi"/>
                <w:kern w:val="0"/>
              </w:rPr>
              <w:t>an attempt to present differences and similarities of insights</w:t>
            </w:r>
            <w:r w:rsidR="009A337B">
              <w:rPr>
                <w:rFonts w:cstheme="minorHAnsi"/>
                <w:kern w:val="0"/>
              </w:rPr>
              <w:t>,</w:t>
            </w:r>
            <w:r>
              <w:rPr>
                <w:rFonts w:cstheme="minorHAnsi"/>
                <w:kern w:val="0"/>
              </w:rPr>
              <w:t xml:space="preserve"> </w:t>
            </w:r>
            <w:r w:rsidR="009A337B">
              <w:rPr>
                <w:rFonts w:cstheme="minorHAnsi"/>
                <w:kern w:val="0"/>
              </w:rPr>
              <w:t>indicating</w:t>
            </w:r>
            <w:r>
              <w:rPr>
                <w:rFonts w:cstheme="minorHAnsi"/>
                <w:kern w:val="0"/>
              </w:rPr>
              <w:t xml:space="preserve"> that </w:t>
            </w:r>
            <w:r w:rsidRPr="006F1D6B">
              <w:rPr>
                <w:rFonts w:cstheme="minorHAnsi"/>
              </w:rPr>
              <w:t>although content knowledge is lacking, some understanding of integration is present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1243" w:type="pct"/>
            <w:shd w:val="clear" w:color="auto" w:fill="auto"/>
          </w:tcPr>
          <w:p w14:paraId="7495005E" w14:textId="6ED0C292" w:rsidR="008F0FB8" w:rsidRPr="00F11C72" w:rsidRDefault="008F0FB8" w:rsidP="00F11C72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There is evidence of </w:t>
            </w:r>
            <w:r w:rsidRPr="00F11C72">
              <w:rPr>
                <w:rFonts w:cstheme="minorHAnsi"/>
                <w:kern w:val="0"/>
              </w:rPr>
              <w:t>analysis of strengths &amp; weaknesses of most disciplinary</w:t>
            </w:r>
            <w:r>
              <w:rPr>
                <w:rFonts w:cstheme="minorHAnsi"/>
                <w:kern w:val="0"/>
              </w:rPr>
              <w:t xml:space="preserve"> </w:t>
            </w:r>
            <w:r w:rsidRPr="00F11C72">
              <w:rPr>
                <w:rFonts w:cstheme="minorHAnsi"/>
                <w:kern w:val="0"/>
              </w:rPr>
              <w:t>insights</w:t>
            </w:r>
            <w:r w:rsidR="00642E2B">
              <w:rPr>
                <w:rFonts w:cstheme="minorHAnsi"/>
                <w:kern w:val="0"/>
              </w:rPr>
              <w:t>,</w:t>
            </w:r>
            <w:r w:rsidRPr="00F11C72">
              <w:rPr>
                <w:rFonts w:cstheme="minorHAnsi"/>
                <w:kern w:val="0"/>
              </w:rPr>
              <w:t xml:space="preserve"> but not all aspects are elaborated on.</w:t>
            </w:r>
          </w:p>
          <w:p w14:paraId="5EC53B33" w14:textId="77777777" w:rsidR="008F0FB8" w:rsidRDefault="008F0FB8" w:rsidP="00415B40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</w:p>
          <w:p w14:paraId="09A423C9" w14:textId="42F2E256" w:rsidR="008F0FB8" w:rsidRPr="00415B40" w:rsidRDefault="00BA1C21" w:rsidP="00415B40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Though the information is superficially presented, the differences and similarities of the relevant disciplinary insights are analyzed</w:t>
            </w:r>
            <w:r w:rsidR="008F0FB8" w:rsidRPr="00F11C72">
              <w:rPr>
                <w:rFonts w:cstheme="minorHAnsi"/>
                <w:kern w:val="0"/>
              </w:rPr>
              <w:t>.</w:t>
            </w:r>
          </w:p>
        </w:tc>
        <w:tc>
          <w:tcPr>
            <w:tcW w:w="1201" w:type="pct"/>
            <w:shd w:val="clear" w:color="auto" w:fill="auto"/>
          </w:tcPr>
          <w:p w14:paraId="05A88CB6" w14:textId="59C54DD4" w:rsidR="008F0FB8" w:rsidRDefault="008F0FB8" w:rsidP="00415B40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There is </w:t>
            </w:r>
            <w:r w:rsidR="00742770">
              <w:rPr>
                <w:rFonts w:cstheme="minorHAnsi"/>
                <w:kern w:val="0"/>
              </w:rPr>
              <w:t xml:space="preserve">a </w:t>
            </w:r>
            <w:r>
              <w:rPr>
                <w:rFonts w:cstheme="minorHAnsi"/>
                <w:kern w:val="0"/>
              </w:rPr>
              <w:t>c</w:t>
            </w:r>
            <w:r w:rsidRPr="00F11C72">
              <w:rPr>
                <w:rFonts w:cstheme="minorHAnsi"/>
                <w:kern w:val="0"/>
              </w:rPr>
              <w:t>lear and critical analysis of strengths and weaknesses</w:t>
            </w:r>
            <w:r>
              <w:rPr>
                <w:rFonts w:cstheme="minorHAnsi"/>
                <w:kern w:val="0"/>
              </w:rPr>
              <w:t xml:space="preserve"> </w:t>
            </w:r>
            <w:r w:rsidRPr="00F11C72">
              <w:rPr>
                <w:rFonts w:cstheme="minorHAnsi"/>
                <w:kern w:val="0"/>
              </w:rPr>
              <w:t>of each disciplinary insight</w:t>
            </w:r>
            <w:r w:rsidR="00642E2B">
              <w:rPr>
                <w:rFonts w:cstheme="minorHAnsi"/>
                <w:kern w:val="0"/>
              </w:rPr>
              <w:t>,</w:t>
            </w:r>
            <w:r>
              <w:rPr>
                <w:rFonts w:cstheme="minorHAnsi"/>
                <w:kern w:val="0"/>
              </w:rPr>
              <w:t xml:space="preserve"> and there is a thorough discussion of</w:t>
            </w:r>
            <w:r w:rsidRPr="00F11C72">
              <w:rPr>
                <w:rFonts w:cstheme="minorHAnsi"/>
                <w:kern w:val="0"/>
              </w:rPr>
              <w:t xml:space="preserve"> similarities and differences between</w:t>
            </w:r>
            <w:r>
              <w:rPr>
                <w:rFonts w:cstheme="minorHAnsi"/>
                <w:kern w:val="0"/>
              </w:rPr>
              <w:t xml:space="preserve"> </w:t>
            </w:r>
            <w:r w:rsidRPr="00F11C72">
              <w:rPr>
                <w:rFonts w:cstheme="minorHAnsi"/>
                <w:kern w:val="0"/>
              </w:rPr>
              <w:t xml:space="preserve">disciplinary </w:t>
            </w:r>
            <w:r>
              <w:rPr>
                <w:rFonts w:cstheme="minorHAnsi"/>
                <w:kern w:val="0"/>
              </w:rPr>
              <w:t xml:space="preserve">insights. </w:t>
            </w:r>
          </w:p>
          <w:p w14:paraId="3BC1405C" w14:textId="77777777" w:rsidR="008F0FB8" w:rsidRDefault="008F0FB8" w:rsidP="00415B40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</w:p>
          <w:p w14:paraId="78FD958E" w14:textId="0147A259" w:rsidR="008F0FB8" w:rsidRPr="003C7A27" w:rsidRDefault="008F0FB8" w:rsidP="00415B40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There is no omission of relevant disciplinary insights presented earlier in the work</w:t>
            </w:r>
            <w:r w:rsidR="00642E2B">
              <w:rPr>
                <w:rFonts w:cstheme="minorHAnsi"/>
                <w:kern w:val="0"/>
              </w:rPr>
              <w:t>,</w:t>
            </w:r>
            <w:r>
              <w:rPr>
                <w:rFonts w:cstheme="minorHAnsi"/>
                <w:kern w:val="0"/>
              </w:rPr>
              <w:t xml:space="preserve"> and/or there is no omission of information that impedes understanding of similarities/differences and/or strengths/weaknesses.</w:t>
            </w:r>
          </w:p>
        </w:tc>
        <w:tc>
          <w:tcPr>
            <w:tcW w:w="430" w:type="pct"/>
          </w:tcPr>
          <w:p w14:paraId="1C6D14F9" w14:textId="77777777" w:rsidR="008F0FB8" w:rsidRPr="00F11C72" w:rsidRDefault="008F0FB8">
            <w:pPr>
              <w:rPr>
                <w:rFonts w:cstheme="minorHAnsi"/>
              </w:rPr>
            </w:pPr>
          </w:p>
        </w:tc>
        <w:tc>
          <w:tcPr>
            <w:tcW w:w="435" w:type="pct"/>
            <w:shd w:val="clear" w:color="auto" w:fill="auto"/>
          </w:tcPr>
          <w:p w14:paraId="335F69FD" w14:textId="18D0C6F3" w:rsidR="008F0FB8" w:rsidRPr="00F11C72" w:rsidRDefault="008F0FB8">
            <w:pPr>
              <w:rPr>
                <w:rFonts w:cstheme="minorHAnsi"/>
              </w:rPr>
            </w:pPr>
          </w:p>
        </w:tc>
      </w:tr>
      <w:tr w:rsidR="00814A1E" w:rsidRPr="00F11C72" w14:paraId="2AEB773D" w14:textId="77777777" w:rsidTr="00814A1E">
        <w:tc>
          <w:tcPr>
            <w:tcW w:w="610" w:type="pct"/>
            <w:shd w:val="clear" w:color="auto" w:fill="auto"/>
            <w:vAlign w:val="center"/>
          </w:tcPr>
          <w:p w14:paraId="2FEC5143" w14:textId="5F17E685" w:rsidR="008F0FB8" w:rsidRPr="00F11C72" w:rsidRDefault="008F0FB8" w:rsidP="00533E11">
            <w:pPr>
              <w:rPr>
                <w:rFonts w:cstheme="minorHAnsi"/>
              </w:rPr>
            </w:pPr>
            <w:r>
              <w:rPr>
                <w:rFonts w:cstheme="minorHAnsi"/>
              </w:rPr>
              <w:t>IDL6. Integration: synthesis and new interdisciplinary understanding</w:t>
            </w:r>
          </w:p>
        </w:tc>
        <w:tc>
          <w:tcPr>
            <w:tcW w:w="1082" w:type="pct"/>
            <w:shd w:val="clear" w:color="auto" w:fill="auto"/>
          </w:tcPr>
          <w:p w14:paraId="17F633BC" w14:textId="0149D220" w:rsidR="008F0FB8" w:rsidRPr="00F11C72" w:rsidRDefault="008F0FB8" w:rsidP="00F11C72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There is no attempt to connect insights from disciplines OR any attempted new understanding presented does not require insights from more than one discipline. A</w:t>
            </w:r>
            <w:r w:rsidRPr="006F1D6B">
              <w:rPr>
                <w:rFonts w:cstheme="minorHAnsi"/>
              </w:rPr>
              <w:t>lthough content knowledge is lacking, some understanding of integration is present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1243" w:type="pct"/>
            <w:shd w:val="clear" w:color="auto" w:fill="auto"/>
          </w:tcPr>
          <w:p w14:paraId="2F83213C" w14:textId="77777777" w:rsidR="008F0FB8" w:rsidRDefault="008F0FB8" w:rsidP="00F11C72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Some connections between insights from the relevant disciplines are introduced. </w:t>
            </w:r>
          </w:p>
          <w:p w14:paraId="3A0C3EB5" w14:textId="77777777" w:rsidR="008F0FB8" w:rsidRDefault="008F0FB8" w:rsidP="00F11C72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</w:p>
          <w:p w14:paraId="5B2B7635" w14:textId="067332C5" w:rsidR="008F0FB8" w:rsidRPr="00F11C72" w:rsidRDefault="008F0FB8" w:rsidP="00F11C72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There is a new understanding presented</w:t>
            </w:r>
            <w:r w:rsidR="00642E2B">
              <w:rPr>
                <w:rFonts w:cstheme="minorHAnsi"/>
                <w:kern w:val="0"/>
              </w:rPr>
              <w:t>,</w:t>
            </w:r>
            <w:r>
              <w:rPr>
                <w:rFonts w:cstheme="minorHAnsi"/>
                <w:kern w:val="0"/>
              </w:rPr>
              <w:t xml:space="preserve"> but some important connections are missing and/or discussion of the connections is not coherent/effective so that the understanding of the </w:t>
            </w:r>
            <w:r w:rsidR="00642E2B">
              <w:rPr>
                <w:rFonts w:cstheme="minorHAnsi"/>
                <w:kern w:val="0"/>
              </w:rPr>
              <w:t>relevant</w:t>
            </w:r>
            <w:r>
              <w:rPr>
                <w:rFonts w:cstheme="minorHAnsi"/>
                <w:kern w:val="0"/>
              </w:rPr>
              <w:t xml:space="preserve"> connections to a new insight is impeded (i.e., the student makes a claim of a new interdisciplinary understanding but the evidence, reasoning, or both are missing).</w:t>
            </w:r>
          </w:p>
        </w:tc>
        <w:tc>
          <w:tcPr>
            <w:tcW w:w="1201" w:type="pct"/>
            <w:shd w:val="clear" w:color="auto" w:fill="auto"/>
          </w:tcPr>
          <w:p w14:paraId="2A8F6D76" w14:textId="0C6F694D" w:rsidR="008F0FB8" w:rsidRDefault="008F0FB8" w:rsidP="00BA7CF1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Insights from the relevant disciplines are presented and connected in a coherent and effective way so that </w:t>
            </w:r>
            <w:r w:rsidR="00642E2B">
              <w:rPr>
                <w:rFonts w:cstheme="minorHAnsi"/>
                <w:kern w:val="0"/>
              </w:rPr>
              <w:t xml:space="preserve">the </w:t>
            </w:r>
            <w:r>
              <w:rPr>
                <w:rFonts w:cstheme="minorHAnsi"/>
                <w:kern w:val="0"/>
              </w:rPr>
              <w:t>relevance of the connections is clear and there are no obvious missing connections that impede understanding.</w:t>
            </w:r>
          </w:p>
          <w:p w14:paraId="62390DB2" w14:textId="77777777" w:rsidR="008F0FB8" w:rsidRDefault="008F0FB8" w:rsidP="00BA7CF1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</w:p>
          <w:p w14:paraId="6D8E25A4" w14:textId="43C4713D" w:rsidR="008F0FB8" w:rsidRPr="00F11C72" w:rsidRDefault="008F0FB8" w:rsidP="00BA7CF1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The connections between insights lead to </w:t>
            </w:r>
            <w:r w:rsidRPr="00F11C72">
              <w:rPr>
                <w:rFonts w:cstheme="minorHAnsi"/>
                <w:kern w:val="0"/>
              </w:rPr>
              <w:t>a new understanding</w:t>
            </w:r>
            <w:r>
              <w:rPr>
                <w:rFonts w:cstheme="minorHAnsi"/>
                <w:kern w:val="0"/>
              </w:rPr>
              <w:t xml:space="preserve"> that would not have been possible within a single discipline.</w:t>
            </w:r>
          </w:p>
          <w:p w14:paraId="2D62B0F6" w14:textId="51A7F776" w:rsidR="008F0FB8" w:rsidRPr="00F11C72" w:rsidRDefault="008F0FB8" w:rsidP="00EA4558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</w:p>
        </w:tc>
        <w:tc>
          <w:tcPr>
            <w:tcW w:w="430" w:type="pct"/>
          </w:tcPr>
          <w:p w14:paraId="54FD08A6" w14:textId="77777777" w:rsidR="008F0FB8" w:rsidRPr="00F11C72" w:rsidRDefault="008F0FB8">
            <w:pPr>
              <w:rPr>
                <w:rFonts w:cstheme="minorHAnsi"/>
              </w:rPr>
            </w:pPr>
          </w:p>
        </w:tc>
        <w:tc>
          <w:tcPr>
            <w:tcW w:w="435" w:type="pct"/>
            <w:shd w:val="clear" w:color="auto" w:fill="auto"/>
          </w:tcPr>
          <w:p w14:paraId="3E2BA1D0" w14:textId="673AC74F" w:rsidR="008F0FB8" w:rsidRPr="00F11C72" w:rsidRDefault="008F0FB8">
            <w:pPr>
              <w:rPr>
                <w:rFonts w:cstheme="minorHAnsi"/>
              </w:rPr>
            </w:pPr>
          </w:p>
        </w:tc>
      </w:tr>
    </w:tbl>
    <w:p w14:paraId="6CCD0EB4" w14:textId="77777777" w:rsidR="00391EDE" w:rsidRDefault="00391EDE"/>
    <w:p w14:paraId="12DD890E" w14:textId="1D0BAB22" w:rsidR="00F11C72" w:rsidRDefault="00F11C72"/>
    <w:p w14:paraId="7DBACB5A" w14:textId="77777777" w:rsidR="00CD2C1B" w:rsidRDefault="00CD2C1B"/>
    <w:p w14:paraId="65936BCB" w14:textId="7836BF49" w:rsidR="00807379" w:rsidRPr="004160A1" w:rsidRDefault="00C0404B" w:rsidP="0080737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University Learning Goals Targeted by SAIL</w:t>
      </w:r>
    </w:p>
    <w:p w14:paraId="5C8BE956" w14:textId="523C53BD" w:rsidR="009F0F58" w:rsidRDefault="002D30F9" w:rsidP="00817222">
      <w:pPr>
        <w:spacing w:after="0" w:line="240" w:lineRule="auto"/>
      </w:pPr>
      <w:r>
        <w:t>Learning goals that SAIL aims to improve in upper-level courses</w:t>
      </w:r>
      <w:r w:rsidR="00B518A1">
        <w:t xml:space="preserve"> (projects may select one or more of these goals)</w:t>
      </w:r>
      <w:r w:rsidR="00807379">
        <w:t>:</w:t>
      </w:r>
    </w:p>
    <w:p w14:paraId="23CFB038" w14:textId="3DF0DE46" w:rsidR="009F0F58" w:rsidRPr="009F0F58" w:rsidRDefault="009F0F58" w:rsidP="00817222">
      <w:pPr>
        <w:pStyle w:val="ListParagraph"/>
        <w:numPr>
          <w:ilvl w:val="0"/>
          <w:numId w:val="4"/>
        </w:numPr>
        <w:spacing w:after="0" w:line="240" w:lineRule="auto"/>
      </w:pPr>
      <w:r w:rsidRPr="009F0F58">
        <w:rPr>
          <w:b/>
          <w:bCs/>
        </w:rPr>
        <w:t>Critical Thinking</w:t>
      </w:r>
    </w:p>
    <w:p w14:paraId="2E0DCE96" w14:textId="77777777" w:rsidR="009F0F58" w:rsidRDefault="009F0F58" w:rsidP="0081722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Thoroughly analyze own and others’ assumptions and carefully evaluate the relevance of context when presenting a position </w:t>
      </w:r>
    </w:p>
    <w:p w14:paraId="1B7589D5" w14:textId="77777777" w:rsidR="009F0F58" w:rsidRDefault="009F0F58" w:rsidP="0081722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Acknowledge the limits of their position and synthesize others’ points of view </w:t>
      </w:r>
    </w:p>
    <w:p w14:paraId="1E4B7643" w14:textId="77777777" w:rsidR="009F0F58" w:rsidRPr="009F0F58" w:rsidRDefault="009F0F58" w:rsidP="00817222">
      <w:pPr>
        <w:pStyle w:val="ListParagraph"/>
        <w:numPr>
          <w:ilvl w:val="0"/>
          <w:numId w:val="4"/>
        </w:numPr>
        <w:spacing w:after="0" w:line="240" w:lineRule="auto"/>
      </w:pPr>
      <w:r w:rsidRPr="009F0F58">
        <w:rPr>
          <w:b/>
          <w:bCs/>
        </w:rPr>
        <w:t>Diversity</w:t>
      </w:r>
    </w:p>
    <w:p w14:paraId="4B4C7774" w14:textId="77777777" w:rsidR="009F0F58" w:rsidRDefault="009F0F58" w:rsidP="00817222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Discuss perspectives of a specific social group or groups and comprehensively examine how culture and society influenced (and continue to influence) those perspectives</w:t>
      </w:r>
    </w:p>
    <w:p w14:paraId="198BB23F" w14:textId="77777777" w:rsidR="009F0F58" w:rsidRDefault="009F0F58" w:rsidP="00817222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 xml:space="preserve">Present an evidence-based, accurate and well-thought-out argument for or against a claim, argument, or theory regarding the interplay between diversity, identity, and experience, and acknowledge competing viewpoint(s) </w:t>
      </w:r>
    </w:p>
    <w:p w14:paraId="5119FE36" w14:textId="77777777" w:rsidR="009F0F58" w:rsidRPr="009F0F58" w:rsidRDefault="009F0F58" w:rsidP="00817222">
      <w:pPr>
        <w:pStyle w:val="ListParagraph"/>
        <w:numPr>
          <w:ilvl w:val="0"/>
          <w:numId w:val="4"/>
        </w:numPr>
        <w:spacing w:after="0" w:line="240" w:lineRule="auto"/>
      </w:pPr>
      <w:r w:rsidRPr="009F0F58">
        <w:rPr>
          <w:b/>
          <w:bCs/>
        </w:rPr>
        <w:t>Global Citizenship</w:t>
      </w:r>
    </w:p>
    <w:p w14:paraId="2A5B8FB2" w14:textId="77777777" w:rsidR="009F0F58" w:rsidRDefault="009F0F58" w:rsidP="00817222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Demonstrate a nuanced understanding of the interconnectedness within/between complex global system(s) and process(es)</w:t>
      </w:r>
    </w:p>
    <w:p w14:paraId="794E0A95" w14:textId="4C619304" w:rsidR="00817222" w:rsidRDefault="009F0F58" w:rsidP="00817222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 xml:space="preserve">Demonstrate on-going exploration and integration of multiple perspectives and/or frames of reference in addition to one’s own when discussing global issues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3"/>
        <w:gridCol w:w="2412"/>
        <w:gridCol w:w="2251"/>
        <w:gridCol w:w="2518"/>
        <w:gridCol w:w="2970"/>
        <w:gridCol w:w="901"/>
        <w:gridCol w:w="1615"/>
      </w:tblGrid>
      <w:tr w:rsidR="00814A1E" w:rsidRPr="00924880" w14:paraId="33FA39FB" w14:textId="77777777" w:rsidTr="00817222">
        <w:tc>
          <w:tcPr>
            <w:tcW w:w="599" w:type="pct"/>
            <w:vMerge w:val="restart"/>
            <w:shd w:val="clear" w:color="auto" w:fill="auto"/>
          </w:tcPr>
          <w:p w14:paraId="7244F529" w14:textId="77777777" w:rsidR="00814A1E" w:rsidRPr="00F11C72" w:rsidRDefault="00814A1E" w:rsidP="003956B7">
            <w:pPr>
              <w:rPr>
                <w:rFonts w:cstheme="minorHAnsi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A7E23FF" w14:textId="77B5ABEB" w:rsidR="00814A1E" w:rsidRPr="00924880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Benchmark</w:t>
            </w:r>
          </w:p>
        </w:tc>
        <w:tc>
          <w:tcPr>
            <w:tcW w:w="1657" w:type="pct"/>
            <w:gridSpan w:val="2"/>
            <w:shd w:val="clear" w:color="auto" w:fill="auto"/>
            <w:vAlign w:val="center"/>
          </w:tcPr>
          <w:p w14:paraId="5BC269D6" w14:textId="77777777" w:rsidR="00814A1E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</w:p>
          <w:p w14:paraId="1DBC9B0B" w14:textId="0166B1DF" w:rsidR="00814A1E" w:rsidRPr="00924880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Milestones</w:t>
            </w:r>
          </w:p>
          <w:p w14:paraId="5EF7366F" w14:textId="1471334F" w:rsidR="00814A1E" w:rsidRPr="00924880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2" w:type="pct"/>
          </w:tcPr>
          <w:p w14:paraId="1E70C20D" w14:textId="77777777" w:rsidR="00814A1E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</w:p>
          <w:p w14:paraId="31F0B95D" w14:textId="33BE1678" w:rsidR="00814A1E" w:rsidRPr="00924880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Capstone</w:t>
            </w:r>
          </w:p>
        </w:tc>
        <w:tc>
          <w:tcPr>
            <w:tcW w:w="313" w:type="pct"/>
          </w:tcPr>
          <w:p w14:paraId="140C2CE4" w14:textId="77777777" w:rsidR="00814A1E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</w:p>
          <w:p w14:paraId="18C31540" w14:textId="4C632EEE" w:rsidR="00814A1E" w:rsidRPr="00924880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CF0264D" w14:textId="6FFEB06C" w:rsidR="00814A1E" w:rsidRPr="00924880" w:rsidRDefault="00814A1E" w:rsidP="00814A1E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Not applicable to the assignment</w:t>
            </w:r>
          </w:p>
        </w:tc>
      </w:tr>
      <w:tr w:rsidR="00814A1E" w:rsidRPr="00924880" w14:paraId="5C928084" w14:textId="77777777" w:rsidTr="00817222">
        <w:tc>
          <w:tcPr>
            <w:tcW w:w="599" w:type="pct"/>
            <w:vMerge/>
            <w:shd w:val="clear" w:color="auto" w:fill="auto"/>
          </w:tcPr>
          <w:p w14:paraId="75EC3A57" w14:textId="77777777" w:rsidR="00814A1E" w:rsidRPr="00F11C72" w:rsidRDefault="00814A1E" w:rsidP="003956B7">
            <w:pPr>
              <w:rPr>
                <w:rFonts w:cstheme="minorHAnsi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028707BB" w14:textId="55CA2242" w:rsidR="00814A1E" w:rsidRPr="00924880" w:rsidRDefault="00814A1E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140489C" w14:textId="46911F88" w:rsidR="00814A1E" w:rsidRPr="00924880" w:rsidRDefault="00814A1E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A2E3A93" w14:textId="48739147" w:rsidR="00814A1E" w:rsidRPr="00924880" w:rsidRDefault="00814A1E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32" w:type="pct"/>
          </w:tcPr>
          <w:p w14:paraId="0A8A0933" w14:textId="149927B6" w:rsidR="00814A1E" w:rsidRPr="00924880" w:rsidRDefault="00814A1E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13" w:type="pct"/>
          </w:tcPr>
          <w:p w14:paraId="7D20EF27" w14:textId="77777777" w:rsidR="00814A1E" w:rsidRPr="00924880" w:rsidRDefault="00814A1E" w:rsidP="003956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C8F9D4D" w14:textId="1998271B" w:rsidR="00814A1E" w:rsidRPr="00924880" w:rsidRDefault="00814A1E" w:rsidP="003956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14A1E" w:rsidRPr="00F11C72" w14:paraId="0A374F46" w14:textId="77777777" w:rsidTr="00814A1E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18F1C24" w14:textId="5B691426" w:rsidR="00814A1E" w:rsidRPr="00F11C72" w:rsidRDefault="00814A1E" w:rsidP="003956B7">
            <w:pPr>
              <w:rPr>
                <w:rFonts w:cstheme="minorHAnsi"/>
              </w:rPr>
            </w:pPr>
            <w:r>
              <w:rPr>
                <w:rFonts w:cstheme="minorHAnsi"/>
              </w:rPr>
              <w:t>Critical Thinking</w:t>
            </w:r>
          </w:p>
        </w:tc>
      </w:tr>
      <w:tr w:rsidR="00814A1E" w:rsidRPr="00F11C72" w14:paraId="3E98692D" w14:textId="77777777" w:rsidTr="00817222">
        <w:trPr>
          <w:trHeight w:val="2123"/>
        </w:trPr>
        <w:tc>
          <w:tcPr>
            <w:tcW w:w="599" w:type="pct"/>
            <w:shd w:val="clear" w:color="auto" w:fill="auto"/>
            <w:vAlign w:val="center"/>
          </w:tcPr>
          <w:p w14:paraId="06E8DAC5" w14:textId="3897D526" w:rsidR="00814A1E" w:rsidRPr="00F11C72" w:rsidRDefault="00814A1E" w:rsidP="00A842D6">
            <w:pPr>
              <w:rPr>
                <w:rFonts w:cstheme="minorHAnsi"/>
              </w:rPr>
            </w:pPr>
            <w:r w:rsidRPr="00D9113E">
              <w:rPr>
                <w:b/>
              </w:rPr>
              <w:t>Influence of context and assumptions</w:t>
            </w:r>
          </w:p>
        </w:tc>
        <w:tc>
          <w:tcPr>
            <w:tcW w:w="838" w:type="pct"/>
            <w:shd w:val="clear" w:color="auto" w:fill="auto"/>
          </w:tcPr>
          <w:p w14:paraId="2E1D5CBB" w14:textId="5FBBFCBE" w:rsidR="00814A1E" w:rsidRPr="006F1D6B" w:rsidRDefault="00814A1E" w:rsidP="00A842D6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Shows an emerging awareness of present assumptions (sometimes labels assertions as assumptions). Begins to identify some contexts when presenting a position.</w:t>
            </w:r>
          </w:p>
        </w:tc>
        <w:tc>
          <w:tcPr>
            <w:tcW w:w="782" w:type="pct"/>
            <w:shd w:val="clear" w:color="auto" w:fill="auto"/>
          </w:tcPr>
          <w:p w14:paraId="00821417" w14:textId="5CF64B1D" w:rsidR="00814A1E" w:rsidRPr="00415B40" w:rsidRDefault="00814A1E" w:rsidP="00A842D6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Questions some assumptions. Identifies several relevant contexts when presenting a position. May be more aware of others’ assumptions than one’s own (or vice versa).</w:t>
            </w:r>
          </w:p>
        </w:tc>
        <w:tc>
          <w:tcPr>
            <w:tcW w:w="875" w:type="pct"/>
            <w:shd w:val="clear" w:color="auto" w:fill="auto"/>
          </w:tcPr>
          <w:p w14:paraId="1FE71A52" w14:textId="4926B7C6" w:rsidR="00814A1E" w:rsidRPr="003C7A27" w:rsidRDefault="00814A1E" w:rsidP="00A842D6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Identifies own and others’ assumptions and several relevant contexts when presenting a position.</w:t>
            </w:r>
          </w:p>
        </w:tc>
        <w:tc>
          <w:tcPr>
            <w:tcW w:w="1032" w:type="pct"/>
          </w:tcPr>
          <w:p w14:paraId="777C1B81" w14:textId="6D650C01" w:rsidR="00814A1E" w:rsidRPr="00F11C72" w:rsidRDefault="00814A1E" w:rsidP="00A842D6">
            <w:pPr>
              <w:rPr>
                <w:rFonts w:cstheme="minorHAnsi"/>
              </w:rPr>
            </w:pPr>
            <w:r w:rsidRPr="00D9113E">
              <w:t>Thoroughly (systematically and methodically) analyzes own and others’ assumptions and carefully evaluates the relevance of context when presenting a position.</w:t>
            </w:r>
          </w:p>
        </w:tc>
        <w:tc>
          <w:tcPr>
            <w:tcW w:w="313" w:type="pct"/>
          </w:tcPr>
          <w:p w14:paraId="22DE1042" w14:textId="77777777" w:rsidR="00814A1E" w:rsidRPr="00F11C72" w:rsidRDefault="00814A1E" w:rsidP="00A842D6">
            <w:pPr>
              <w:rPr>
                <w:rFonts w:cstheme="minorHAnsi"/>
              </w:rPr>
            </w:pPr>
          </w:p>
        </w:tc>
        <w:tc>
          <w:tcPr>
            <w:tcW w:w="561" w:type="pct"/>
            <w:shd w:val="clear" w:color="auto" w:fill="auto"/>
          </w:tcPr>
          <w:p w14:paraId="7FE99224" w14:textId="7971EEAB" w:rsidR="00814A1E" w:rsidRPr="00F11C72" w:rsidRDefault="00814A1E" w:rsidP="00A842D6">
            <w:pPr>
              <w:rPr>
                <w:rFonts w:cstheme="minorHAnsi"/>
              </w:rPr>
            </w:pPr>
          </w:p>
        </w:tc>
      </w:tr>
      <w:tr w:rsidR="00814A1E" w:rsidRPr="00F11C72" w14:paraId="69E87042" w14:textId="77777777" w:rsidTr="00817222">
        <w:tc>
          <w:tcPr>
            <w:tcW w:w="599" w:type="pct"/>
            <w:shd w:val="clear" w:color="auto" w:fill="auto"/>
            <w:vAlign w:val="center"/>
          </w:tcPr>
          <w:p w14:paraId="5E73D596" w14:textId="77777777" w:rsidR="00814A1E" w:rsidRPr="00D9113E" w:rsidRDefault="00814A1E" w:rsidP="003A13E8">
            <w:pPr>
              <w:rPr>
                <w:b/>
              </w:rPr>
            </w:pPr>
            <w:r w:rsidRPr="00D9113E">
              <w:rPr>
                <w:b/>
              </w:rPr>
              <w:t>Student’s position</w:t>
            </w:r>
          </w:p>
          <w:p w14:paraId="7807A967" w14:textId="1CD5D075" w:rsidR="00814A1E" w:rsidRPr="00F11C72" w:rsidRDefault="00814A1E" w:rsidP="003A13E8">
            <w:pPr>
              <w:rPr>
                <w:rFonts w:cstheme="minorHAnsi"/>
              </w:rPr>
            </w:pPr>
            <w:r w:rsidRPr="00D9113E">
              <w:rPr>
                <w:i/>
              </w:rPr>
              <w:t>(position, perspective, thesis, or hypothesis)</w:t>
            </w:r>
          </w:p>
        </w:tc>
        <w:tc>
          <w:tcPr>
            <w:tcW w:w="838" w:type="pct"/>
            <w:shd w:val="clear" w:color="auto" w:fill="auto"/>
          </w:tcPr>
          <w:p w14:paraId="58FACE40" w14:textId="04E681CC" w:rsidR="00814A1E" w:rsidRPr="00F11C72" w:rsidRDefault="00814A1E" w:rsidP="003A13E8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Specific position is stated but is simplistic and obvious.</w:t>
            </w:r>
          </w:p>
        </w:tc>
        <w:tc>
          <w:tcPr>
            <w:tcW w:w="782" w:type="pct"/>
            <w:shd w:val="clear" w:color="auto" w:fill="auto"/>
          </w:tcPr>
          <w:p w14:paraId="0072CD42" w14:textId="436C294C" w:rsidR="00814A1E" w:rsidRPr="00F11C72" w:rsidRDefault="00814A1E" w:rsidP="003A13E8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Specific position acknowledges different sides of an issue.</w:t>
            </w:r>
          </w:p>
        </w:tc>
        <w:tc>
          <w:tcPr>
            <w:tcW w:w="875" w:type="pct"/>
            <w:shd w:val="clear" w:color="auto" w:fill="auto"/>
          </w:tcPr>
          <w:p w14:paraId="277930E9" w14:textId="77777777" w:rsidR="00814A1E" w:rsidRPr="00D9113E" w:rsidRDefault="00814A1E" w:rsidP="003A13E8">
            <w:r w:rsidRPr="00D9113E">
              <w:t>Specific position takes into account the complexities of an issue.</w:t>
            </w:r>
          </w:p>
          <w:p w14:paraId="2CB33642" w14:textId="77777777" w:rsidR="00814A1E" w:rsidRDefault="00814A1E" w:rsidP="003A13E8">
            <w:pPr>
              <w:autoSpaceDE w:val="0"/>
              <w:autoSpaceDN w:val="0"/>
              <w:adjustRightInd w:val="0"/>
            </w:pPr>
          </w:p>
          <w:p w14:paraId="146A04EC" w14:textId="1A0E2BCE" w:rsidR="00814A1E" w:rsidRPr="00F11C72" w:rsidRDefault="00814A1E" w:rsidP="003A13E8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Others’ points of view are acknowledged within position.</w:t>
            </w:r>
          </w:p>
        </w:tc>
        <w:tc>
          <w:tcPr>
            <w:tcW w:w="1032" w:type="pct"/>
          </w:tcPr>
          <w:p w14:paraId="764B42C5" w14:textId="77777777" w:rsidR="00C33DF6" w:rsidRDefault="00C33DF6" w:rsidP="00C33DF6">
            <w:r w:rsidRPr="00D9113E">
              <w:t xml:space="preserve">Specific position is imaginative, taking into account the complexities of an issue. </w:t>
            </w:r>
          </w:p>
          <w:p w14:paraId="779BC0C7" w14:textId="77777777" w:rsidR="00C33DF6" w:rsidRDefault="00C33DF6" w:rsidP="00C33DF6"/>
          <w:p w14:paraId="53B17AC7" w14:textId="404D7C06" w:rsidR="00C33DF6" w:rsidRPr="00D9113E" w:rsidRDefault="00C33DF6" w:rsidP="00C33DF6">
            <w:r w:rsidRPr="00D9113E">
              <w:t>Limits of position are acknowledged.</w:t>
            </w:r>
          </w:p>
          <w:p w14:paraId="5A9891EA" w14:textId="5CA14BBB" w:rsidR="00814A1E" w:rsidRPr="008F0FB8" w:rsidRDefault="00C33DF6" w:rsidP="00817222">
            <w:pPr>
              <w:rPr>
                <w:rFonts w:cstheme="minorHAnsi"/>
              </w:rPr>
            </w:pPr>
            <w:r w:rsidRPr="00D9113E">
              <w:t>Others’ points of view are synthesized within position.</w:t>
            </w:r>
          </w:p>
        </w:tc>
        <w:tc>
          <w:tcPr>
            <w:tcW w:w="313" w:type="pct"/>
          </w:tcPr>
          <w:p w14:paraId="1C3468FB" w14:textId="77777777" w:rsidR="00814A1E" w:rsidRPr="00F11C72" w:rsidRDefault="00814A1E" w:rsidP="003A13E8">
            <w:pPr>
              <w:rPr>
                <w:rFonts w:cstheme="minorHAnsi"/>
              </w:rPr>
            </w:pPr>
          </w:p>
        </w:tc>
        <w:tc>
          <w:tcPr>
            <w:tcW w:w="561" w:type="pct"/>
            <w:shd w:val="clear" w:color="auto" w:fill="auto"/>
          </w:tcPr>
          <w:p w14:paraId="424B9D90" w14:textId="21C4F695" w:rsidR="00814A1E" w:rsidRPr="00F11C72" w:rsidRDefault="00814A1E" w:rsidP="003A13E8">
            <w:pPr>
              <w:rPr>
                <w:rFonts w:cstheme="minorHAnsi"/>
              </w:rPr>
            </w:pPr>
          </w:p>
        </w:tc>
      </w:tr>
    </w:tbl>
    <w:p w14:paraId="7581090C" w14:textId="77777777" w:rsidR="00CD2C1B" w:rsidRPr="00182C8E" w:rsidRDefault="00CD2C1B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3"/>
        <w:gridCol w:w="2412"/>
        <w:gridCol w:w="2251"/>
        <w:gridCol w:w="2518"/>
        <w:gridCol w:w="2970"/>
        <w:gridCol w:w="901"/>
        <w:gridCol w:w="1615"/>
      </w:tblGrid>
      <w:tr w:rsidR="00F60CBD" w:rsidRPr="00924880" w14:paraId="12DAE6FD" w14:textId="77777777" w:rsidTr="00817222">
        <w:tc>
          <w:tcPr>
            <w:tcW w:w="599" w:type="pct"/>
            <w:vMerge w:val="restart"/>
            <w:shd w:val="clear" w:color="auto" w:fill="auto"/>
          </w:tcPr>
          <w:p w14:paraId="21EA2734" w14:textId="77777777" w:rsidR="00F60CBD" w:rsidRPr="00F11C72" w:rsidRDefault="00F60CBD" w:rsidP="003956B7">
            <w:pPr>
              <w:rPr>
                <w:rFonts w:cstheme="minorHAnsi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EEEBD73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Benchmark</w:t>
            </w:r>
          </w:p>
        </w:tc>
        <w:tc>
          <w:tcPr>
            <w:tcW w:w="1657" w:type="pct"/>
            <w:gridSpan w:val="2"/>
            <w:shd w:val="clear" w:color="auto" w:fill="auto"/>
            <w:vAlign w:val="center"/>
          </w:tcPr>
          <w:p w14:paraId="17E6AA2A" w14:textId="77777777" w:rsidR="00F60CBD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</w:p>
          <w:p w14:paraId="071AC861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Milestones</w:t>
            </w:r>
          </w:p>
          <w:p w14:paraId="2985F0C7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2" w:type="pct"/>
          </w:tcPr>
          <w:p w14:paraId="1272DD55" w14:textId="77777777" w:rsidR="00F60CBD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</w:p>
          <w:p w14:paraId="5BA1D3F4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Capstone</w:t>
            </w:r>
          </w:p>
        </w:tc>
        <w:tc>
          <w:tcPr>
            <w:tcW w:w="313" w:type="pct"/>
          </w:tcPr>
          <w:p w14:paraId="6A4D1BD1" w14:textId="77777777" w:rsidR="00F60CBD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</w:p>
          <w:p w14:paraId="2B311B83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5F92A5D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Not applicable to the assignment</w:t>
            </w:r>
          </w:p>
        </w:tc>
      </w:tr>
      <w:tr w:rsidR="00F60CBD" w:rsidRPr="00924880" w14:paraId="714D4F4F" w14:textId="77777777" w:rsidTr="00817222">
        <w:tc>
          <w:tcPr>
            <w:tcW w:w="599" w:type="pct"/>
            <w:vMerge/>
            <w:shd w:val="clear" w:color="auto" w:fill="auto"/>
          </w:tcPr>
          <w:p w14:paraId="72DC2A09" w14:textId="77777777" w:rsidR="00F60CBD" w:rsidRPr="00F11C72" w:rsidRDefault="00F60CBD" w:rsidP="003956B7">
            <w:pPr>
              <w:rPr>
                <w:rFonts w:cstheme="minorHAnsi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034588F8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DA44293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19AC8E3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32" w:type="pct"/>
          </w:tcPr>
          <w:p w14:paraId="6A1981E1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13" w:type="pct"/>
          </w:tcPr>
          <w:p w14:paraId="6F9897A3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BFE2E91" w14:textId="77777777" w:rsidR="00F60CBD" w:rsidRPr="00924880" w:rsidRDefault="00F60CBD" w:rsidP="003956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60CBD" w:rsidRPr="00F11C72" w14:paraId="199DFBAB" w14:textId="77777777" w:rsidTr="003956B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DE87359" w14:textId="672785C5" w:rsidR="00F60CBD" w:rsidRPr="00F11C72" w:rsidRDefault="00F60CBD" w:rsidP="003956B7">
            <w:pPr>
              <w:rPr>
                <w:rFonts w:cstheme="minorHAnsi"/>
              </w:rPr>
            </w:pPr>
            <w:r>
              <w:rPr>
                <w:rFonts w:cstheme="minorHAnsi"/>
              </w:rPr>
              <w:t>Diversity</w:t>
            </w:r>
          </w:p>
        </w:tc>
      </w:tr>
      <w:tr w:rsidR="00CC2E07" w:rsidRPr="00F11C72" w14:paraId="4B0232F7" w14:textId="77777777" w:rsidTr="00817222">
        <w:trPr>
          <w:trHeight w:val="2123"/>
        </w:trPr>
        <w:tc>
          <w:tcPr>
            <w:tcW w:w="599" w:type="pct"/>
            <w:shd w:val="clear" w:color="auto" w:fill="auto"/>
            <w:vAlign w:val="center"/>
          </w:tcPr>
          <w:p w14:paraId="5F3475BB" w14:textId="77777777" w:rsidR="00CC2E07" w:rsidRPr="00D9113E" w:rsidRDefault="00CC2E07" w:rsidP="00CC2E07"/>
          <w:p w14:paraId="7A956D0F" w14:textId="77777777" w:rsidR="00CC2E07" w:rsidRPr="00D9113E" w:rsidRDefault="00CC2E07" w:rsidP="00CC2E07"/>
          <w:p w14:paraId="5CCC9CE5" w14:textId="5185C864" w:rsidR="00CC2E07" w:rsidRPr="00F11C72" w:rsidRDefault="00CC2E07" w:rsidP="00CC2E07">
            <w:pPr>
              <w:rPr>
                <w:rFonts w:cstheme="minorHAnsi"/>
              </w:rPr>
            </w:pPr>
            <w:r w:rsidRPr="00D9113E">
              <w:rPr>
                <w:b/>
              </w:rPr>
              <w:t>Knowledge of diverse perspectives and their roots</w:t>
            </w:r>
          </w:p>
        </w:tc>
        <w:tc>
          <w:tcPr>
            <w:tcW w:w="838" w:type="pct"/>
            <w:shd w:val="clear" w:color="auto" w:fill="auto"/>
          </w:tcPr>
          <w:p w14:paraId="30ABEBDD" w14:textId="30FD5DEA" w:rsidR="00CC2E07" w:rsidRPr="006F1D6B" w:rsidRDefault="00CC2E07" w:rsidP="00CC2E07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Identifies some elements of the perspectives of a specific social group or groups, but does not demonstrate an awareness of societal or cultural influences on those perspectives.</w:t>
            </w:r>
          </w:p>
        </w:tc>
        <w:tc>
          <w:tcPr>
            <w:tcW w:w="782" w:type="pct"/>
            <w:shd w:val="clear" w:color="auto" w:fill="auto"/>
          </w:tcPr>
          <w:p w14:paraId="4E843BA0" w14:textId="7EFCA81B" w:rsidR="00CC2E07" w:rsidRPr="00415B40" w:rsidRDefault="00CC2E07" w:rsidP="00CC2E07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Identifies some elements of the perspectives of a specific social group or groups and provides some explanation of how culture and society influenced (and continue to influence) those perspectives.</w:t>
            </w:r>
          </w:p>
        </w:tc>
        <w:tc>
          <w:tcPr>
            <w:tcW w:w="875" w:type="pct"/>
            <w:shd w:val="clear" w:color="auto" w:fill="auto"/>
          </w:tcPr>
          <w:p w14:paraId="41F047C2" w14:textId="0B43AD38" w:rsidR="00CC2E07" w:rsidRPr="003C7A27" w:rsidRDefault="00CC2E07" w:rsidP="00CC2E07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Explains the important aspects of the perspectives of a specific social group or groups and discusses how culture and society influenced (and continue to influence) those perspectives.</w:t>
            </w:r>
          </w:p>
        </w:tc>
        <w:tc>
          <w:tcPr>
            <w:tcW w:w="1032" w:type="pct"/>
          </w:tcPr>
          <w:p w14:paraId="39FDC720" w14:textId="74AB5F00" w:rsidR="00CC2E07" w:rsidRPr="00F11C72" w:rsidRDefault="00CC2E07" w:rsidP="00CC2E07">
            <w:pPr>
              <w:rPr>
                <w:rFonts w:cstheme="minorHAnsi"/>
              </w:rPr>
            </w:pPr>
            <w:r w:rsidRPr="00D9113E">
              <w:t>Discusses in detail the perspectives of a specific social group or groups and comprehensively examines how culture and society influenced (and continue to influence) those perspectives.</w:t>
            </w:r>
          </w:p>
        </w:tc>
        <w:tc>
          <w:tcPr>
            <w:tcW w:w="313" w:type="pct"/>
          </w:tcPr>
          <w:p w14:paraId="57CCF4CF" w14:textId="77777777" w:rsidR="00CC2E07" w:rsidRPr="00F11C72" w:rsidRDefault="00CC2E07" w:rsidP="00CC2E07">
            <w:pPr>
              <w:rPr>
                <w:rFonts w:cstheme="minorHAnsi"/>
              </w:rPr>
            </w:pPr>
          </w:p>
        </w:tc>
        <w:tc>
          <w:tcPr>
            <w:tcW w:w="561" w:type="pct"/>
            <w:shd w:val="clear" w:color="auto" w:fill="auto"/>
          </w:tcPr>
          <w:p w14:paraId="6CD88F66" w14:textId="77777777" w:rsidR="00CC2E07" w:rsidRPr="00F11C72" w:rsidRDefault="00CC2E07" w:rsidP="00CC2E07">
            <w:pPr>
              <w:rPr>
                <w:rFonts w:cstheme="minorHAnsi"/>
              </w:rPr>
            </w:pPr>
          </w:p>
        </w:tc>
      </w:tr>
      <w:tr w:rsidR="00BA3DC3" w:rsidRPr="00F11C72" w14:paraId="66755F7A" w14:textId="77777777" w:rsidTr="00817222">
        <w:tc>
          <w:tcPr>
            <w:tcW w:w="599" w:type="pct"/>
            <w:shd w:val="clear" w:color="auto" w:fill="auto"/>
            <w:vAlign w:val="center"/>
          </w:tcPr>
          <w:p w14:paraId="36382C20" w14:textId="620F40D2" w:rsidR="00BA3DC3" w:rsidRPr="00F11C72" w:rsidRDefault="00BA3DC3" w:rsidP="00BA3DC3">
            <w:pPr>
              <w:rPr>
                <w:rFonts w:cstheme="minorHAnsi"/>
              </w:rPr>
            </w:pPr>
            <w:r w:rsidRPr="00D9113E">
              <w:rPr>
                <w:b/>
              </w:rPr>
              <w:t>Evaluating claims and theories about diversity</w:t>
            </w:r>
          </w:p>
        </w:tc>
        <w:tc>
          <w:tcPr>
            <w:tcW w:w="838" w:type="pct"/>
            <w:shd w:val="clear" w:color="auto" w:fill="auto"/>
          </w:tcPr>
          <w:p w14:paraId="240189A4" w14:textId="47196319" w:rsidR="00BA3DC3" w:rsidRPr="00F11C72" w:rsidRDefault="00BA3DC3" w:rsidP="00BA3DC3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Attempts to provide evidence that backs up or disputes a claim, argument or theory regarding the interplay between diversity, identity and experience, however evidence is inaccurate or unrelated.</w:t>
            </w:r>
          </w:p>
        </w:tc>
        <w:tc>
          <w:tcPr>
            <w:tcW w:w="782" w:type="pct"/>
            <w:shd w:val="clear" w:color="auto" w:fill="auto"/>
          </w:tcPr>
          <w:p w14:paraId="56489156" w14:textId="77777777" w:rsidR="00BA3DC3" w:rsidRPr="00D9113E" w:rsidRDefault="00BA3DC3" w:rsidP="00BA3DC3">
            <w:r w:rsidRPr="00D9113E">
              <w:t>Provides some accurate evidence that backs up or disputes a claim, argument or theory regarding the interplay between diversity, identity and experience.</w:t>
            </w:r>
          </w:p>
          <w:p w14:paraId="5BAB433E" w14:textId="77777777" w:rsidR="00BA3DC3" w:rsidRDefault="00BA3DC3" w:rsidP="00BA3DC3">
            <w:pPr>
              <w:autoSpaceDE w:val="0"/>
              <w:autoSpaceDN w:val="0"/>
              <w:adjustRightInd w:val="0"/>
            </w:pPr>
          </w:p>
          <w:p w14:paraId="6A0A0D07" w14:textId="42D760D9" w:rsidR="00BA3DC3" w:rsidRPr="00F11C72" w:rsidRDefault="00BA3DC3" w:rsidP="00BA3DC3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Argument is not complete, and other evidence may be inaccurate or unrelated.</w:t>
            </w:r>
          </w:p>
        </w:tc>
        <w:tc>
          <w:tcPr>
            <w:tcW w:w="875" w:type="pct"/>
            <w:shd w:val="clear" w:color="auto" w:fill="auto"/>
          </w:tcPr>
          <w:p w14:paraId="04347A83" w14:textId="460BCF14" w:rsidR="00BA3DC3" w:rsidRPr="00F11C72" w:rsidRDefault="00BA3DC3" w:rsidP="00BA3DC3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Presents an evidence- based, accurate and substantially complete argument for or against a claim, argument or theory regarding the interplay between diversity, identity and experience. May acknowledge other viewpoint(s).</w:t>
            </w:r>
          </w:p>
        </w:tc>
        <w:tc>
          <w:tcPr>
            <w:tcW w:w="1032" w:type="pct"/>
          </w:tcPr>
          <w:p w14:paraId="4E140223" w14:textId="77777777" w:rsidR="00BA3DC3" w:rsidRPr="00D9113E" w:rsidRDefault="00BA3DC3" w:rsidP="00BA3DC3">
            <w:r w:rsidRPr="00D9113E">
              <w:t>Presents an evidence- based, accurate and well- thought-out argument for or against a claim, argument or theory regarding the interplay between diversity, identity and experience.</w:t>
            </w:r>
          </w:p>
          <w:p w14:paraId="70A2EAAE" w14:textId="77777777" w:rsidR="00BA3DC3" w:rsidRPr="00D9113E" w:rsidRDefault="00BA3DC3" w:rsidP="00BA3DC3"/>
          <w:p w14:paraId="26643E7E" w14:textId="3511F99E" w:rsidR="00BA3DC3" w:rsidRPr="008F0FB8" w:rsidRDefault="00BA3DC3" w:rsidP="00BA3DC3">
            <w:pPr>
              <w:rPr>
                <w:rFonts w:cstheme="minorHAnsi"/>
              </w:rPr>
            </w:pPr>
            <w:r w:rsidRPr="00D9113E">
              <w:t>Acknowledges competing viewpoint(s).</w:t>
            </w:r>
          </w:p>
        </w:tc>
        <w:tc>
          <w:tcPr>
            <w:tcW w:w="313" w:type="pct"/>
          </w:tcPr>
          <w:p w14:paraId="6EBE39E4" w14:textId="77777777" w:rsidR="00BA3DC3" w:rsidRPr="00F11C72" w:rsidRDefault="00BA3DC3" w:rsidP="00BA3DC3">
            <w:pPr>
              <w:rPr>
                <w:rFonts w:cstheme="minorHAnsi"/>
              </w:rPr>
            </w:pPr>
          </w:p>
        </w:tc>
        <w:tc>
          <w:tcPr>
            <w:tcW w:w="561" w:type="pct"/>
            <w:shd w:val="clear" w:color="auto" w:fill="auto"/>
          </w:tcPr>
          <w:p w14:paraId="12BFE308" w14:textId="77777777" w:rsidR="00BA3DC3" w:rsidRPr="00F11C72" w:rsidRDefault="00BA3DC3" w:rsidP="00BA3DC3">
            <w:pPr>
              <w:rPr>
                <w:rFonts w:cstheme="minorHAnsi"/>
              </w:rPr>
            </w:pPr>
          </w:p>
        </w:tc>
      </w:tr>
    </w:tbl>
    <w:p w14:paraId="6CD11F06" w14:textId="77777777" w:rsidR="00F60CBD" w:rsidRDefault="00F60CBD"/>
    <w:p w14:paraId="0AD20A4C" w14:textId="77777777" w:rsidR="00E914E3" w:rsidRDefault="00E914E3"/>
    <w:p w14:paraId="0ACE8674" w14:textId="77777777" w:rsidR="00E914E3" w:rsidRDefault="00E914E3"/>
    <w:p w14:paraId="5DB51A01" w14:textId="77777777" w:rsidR="00E914E3" w:rsidRDefault="00E914E3"/>
    <w:p w14:paraId="0E1679B1" w14:textId="77777777" w:rsidR="00E914E3" w:rsidRDefault="00E914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3"/>
        <w:gridCol w:w="2412"/>
        <w:gridCol w:w="2251"/>
        <w:gridCol w:w="2518"/>
        <w:gridCol w:w="2429"/>
        <w:gridCol w:w="1442"/>
        <w:gridCol w:w="1615"/>
      </w:tblGrid>
      <w:tr w:rsidR="00E914E3" w:rsidRPr="00924880" w14:paraId="424B198D" w14:textId="77777777" w:rsidTr="003956B7">
        <w:tc>
          <w:tcPr>
            <w:tcW w:w="599" w:type="pct"/>
            <w:vMerge w:val="restart"/>
            <w:shd w:val="clear" w:color="auto" w:fill="auto"/>
          </w:tcPr>
          <w:p w14:paraId="0036C6BF" w14:textId="77777777" w:rsidR="00E914E3" w:rsidRPr="00F11C72" w:rsidRDefault="00E914E3" w:rsidP="003956B7">
            <w:pPr>
              <w:rPr>
                <w:rFonts w:cstheme="minorHAnsi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07332ED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Benchmark</w:t>
            </w:r>
          </w:p>
        </w:tc>
        <w:tc>
          <w:tcPr>
            <w:tcW w:w="1657" w:type="pct"/>
            <w:gridSpan w:val="2"/>
            <w:shd w:val="clear" w:color="auto" w:fill="auto"/>
            <w:vAlign w:val="center"/>
          </w:tcPr>
          <w:p w14:paraId="6E758803" w14:textId="77777777" w:rsidR="00E914E3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</w:p>
          <w:p w14:paraId="2DEFC21E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Milestones</w:t>
            </w:r>
          </w:p>
          <w:p w14:paraId="61F6C972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44" w:type="pct"/>
          </w:tcPr>
          <w:p w14:paraId="539AFE5E" w14:textId="77777777" w:rsidR="00E914E3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</w:p>
          <w:p w14:paraId="7C1D41D3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Capstone</w:t>
            </w:r>
          </w:p>
        </w:tc>
        <w:tc>
          <w:tcPr>
            <w:tcW w:w="501" w:type="pct"/>
          </w:tcPr>
          <w:p w14:paraId="09732827" w14:textId="77777777" w:rsidR="00E914E3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</w:p>
          <w:p w14:paraId="21D8143F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98D7193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 w:rsidRPr="00924880">
              <w:rPr>
                <w:rFonts w:cstheme="minorHAnsi"/>
                <w:b/>
                <w:bCs/>
              </w:rPr>
              <w:t>Not applicable to the assignment</w:t>
            </w:r>
          </w:p>
        </w:tc>
      </w:tr>
      <w:tr w:rsidR="00E914E3" w:rsidRPr="00924880" w14:paraId="7A8B6D7B" w14:textId="77777777" w:rsidTr="003956B7">
        <w:tc>
          <w:tcPr>
            <w:tcW w:w="599" w:type="pct"/>
            <w:vMerge/>
            <w:shd w:val="clear" w:color="auto" w:fill="auto"/>
          </w:tcPr>
          <w:p w14:paraId="56200785" w14:textId="77777777" w:rsidR="00E914E3" w:rsidRPr="00F11C72" w:rsidRDefault="00E914E3" w:rsidP="003956B7">
            <w:pPr>
              <w:rPr>
                <w:rFonts w:cstheme="minorHAnsi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5CD563B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71D1E6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68E54CD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44" w:type="pct"/>
          </w:tcPr>
          <w:p w14:paraId="6D57F3B1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01" w:type="pct"/>
          </w:tcPr>
          <w:p w14:paraId="622CC87B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B140833" w14:textId="77777777" w:rsidR="00E914E3" w:rsidRPr="00924880" w:rsidRDefault="00E914E3" w:rsidP="003956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914E3" w:rsidRPr="00F11C72" w14:paraId="1A245E1C" w14:textId="77777777" w:rsidTr="003956B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1F409AF" w14:textId="2C811401" w:rsidR="00E914E3" w:rsidRPr="00B518A1" w:rsidRDefault="00026621" w:rsidP="003956B7">
            <w:pPr>
              <w:rPr>
                <w:rFonts w:cstheme="minorHAnsi"/>
                <w:bCs/>
              </w:rPr>
            </w:pPr>
            <w:r w:rsidRPr="00B518A1">
              <w:rPr>
                <w:bCs/>
              </w:rPr>
              <w:t>Global Citizenship</w:t>
            </w:r>
          </w:p>
        </w:tc>
      </w:tr>
      <w:tr w:rsidR="00182C8E" w:rsidRPr="00F11C72" w14:paraId="4D36B66F" w14:textId="77777777" w:rsidTr="003956B7">
        <w:trPr>
          <w:trHeight w:val="2123"/>
        </w:trPr>
        <w:tc>
          <w:tcPr>
            <w:tcW w:w="599" w:type="pct"/>
            <w:shd w:val="clear" w:color="auto" w:fill="auto"/>
            <w:vAlign w:val="center"/>
          </w:tcPr>
          <w:p w14:paraId="003B225B" w14:textId="77777777" w:rsidR="00182C8E" w:rsidRPr="00D9113E" w:rsidRDefault="00182C8E" w:rsidP="00182C8E"/>
          <w:p w14:paraId="77A1A9CA" w14:textId="77777777" w:rsidR="00182C8E" w:rsidRPr="00D9113E" w:rsidRDefault="00182C8E" w:rsidP="00182C8E"/>
          <w:p w14:paraId="0FFB9516" w14:textId="38572E40" w:rsidR="00182C8E" w:rsidRPr="00F11C72" w:rsidRDefault="00182C8E" w:rsidP="00182C8E">
            <w:pPr>
              <w:rPr>
                <w:rFonts w:cstheme="minorHAnsi"/>
              </w:rPr>
            </w:pPr>
            <w:r w:rsidRPr="00D9113E">
              <w:rPr>
                <w:b/>
              </w:rPr>
              <w:t>Knowledge of connections within systems</w:t>
            </w:r>
          </w:p>
        </w:tc>
        <w:tc>
          <w:tcPr>
            <w:tcW w:w="838" w:type="pct"/>
            <w:shd w:val="clear" w:color="auto" w:fill="auto"/>
          </w:tcPr>
          <w:p w14:paraId="419321AB" w14:textId="63BA29F8" w:rsidR="00182C8E" w:rsidRPr="006F1D6B" w:rsidRDefault="00182C8E" w:rsidP="00182C8E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Describes components of global system(s) without demonstrating understanding of the interconnectedness within/between</w:t>
            </w:r>
            <w:r>
              <w:t xml:space="preserve"> </w:t>
            </w:r>
            <w:r w:rsidRPr="00D9113E">
              <w:t>global system(s) and process(es).</w:t>
            </w:r>
          </w:p>
        </w:tc>
        <w:tc>
          <w:tcPr>
            <w:tcW w:w="782" w:type="pct"/>
            <w:shd w:val="clear" w:color="auto" w:fill="auto"/>
          </w:tcPr>
          <w:p w14:paraId="447F6B32" w14:textId="3F1CF4E6" w:rsidR="00182C8E" w:rsidRPr="00415B40" w:rsidRDefault="00182C8E" w:rsidP="00182C8E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Demonstrates a limited understanding of the interconnectedness within/between global system(s) and process(es).</w:t>
            </w:r>
          </w:p>
        </w:tc>
        <w:tc>
          <w:tcPr>
            <w:tcW w:w="875" w:type="pct"/>
            <w:shd w:val="clear" w:color="auto" w:fill="auto"/>
          </w:tcPr>
          <w:p w14:paraId="67404157" w14:textId="7B7CB1FF" w:rsidR="00182C8E" w:rsidRPr="003C7A27" w:rsidRDefault="00182C8E" w:rsidP="00182C8E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Demonstrates a fairly complete, yet basic, understanding of the interconnectedness within/between global system(s) and process(es).</w:t>
            </w:r>
          </w:p>
        </w:tc>
        <w:tc>
          <w:tcPr>
            <w:tcW w:w="844" w:type="pct"/>
          </w:tcPr>
          <w:p w14:paraId="2717A131" w14:textId="2A7F13EC" w:rsidR="00182C8E" w:rsidRPr="00F11C72" w:rsidRDefault="00182C8E" w:rsidP="00182C8E">
            <w:pPr>
              <w:rPr>
                <w:rFonts w:cstheme="minorHAnsi"/>
              </w:rPr>
            </w:pPr>
            <w:r w:rsidRPr="00D9113E">
              <w:t>Demonstrates a nuanced understanding of the interconnectedness within/between complex global system(s) and process(es).</w:t>
            </w:r>
          </w:p>
        </w:tc>
        <w:tc>
          <w:tcPr>
            <w:tcW w:w="501" w:type="pct"/>
          </w:tcPr>
          <w:p w14:paraId="508F8E92" w14:textId="77777777" w:rsidR="00182C8E" w:rsidRPr="00F11C72" w:rsidRDefault="00182C8E" w:rsidP="00182C8E">
            <w:pPr>
              <w:rPr>
                <w:rFonts w:cstheme="minorHAnsi"/>
              </w:rPr>
            </w:pPr>
          </w:p>
        </w:tc>
        <w:tc>
          <w:tcPr>
            <w:tcW w:w="561" w:type="pct"/>
            <w:shd w:val="clear" w:color="auto" w:fill="auto"/>
          </w:tcPr>
          <w:p w14:paraId="2E5D529A" w14:textId="77777777" w:rsidR="00182C8E" w:rsidRPr="00F11C72" w:rsidRDefault="00182C8E" w:rsidP="00182C8E">
            <w:pPr>
              <w:rPr>
                <w:rFonts w:cstheme="minorHAnsi"/>
              </w:rPr>
            </w:pPr>
          </w:p>
        </w:tc>
      </w:tr>
      <w:tr w:rsidR="00182C8E" w:rsidRPr="00F11C72" w14:paraId="5614067F" w14:textId="77777777" w:rsidTr="003956B7">
        <w:tc>
          <w:tcPr>
            <w:tcW w:w="599" w:type="pct"/>
            <w:shd w:val="clear" w:color="auto" w:fill="auto"/>
            <w:vAlign w:val="center"/>
          </w:tcPr>
          <w:p w14:paraId="4701AE05" w14:textId="1A3D1B31" w:rsidR="00182C8E" w:rsidRPr="00F11C72" w:rsidRDefault="00182C8E" w:rsidP="00182C8E">
            <w:pPr>
              <w:rPr>
                <w:rFonts w:cstheme="minorHAnsi"/>
              </w:rPr>
            </w:pPr>
            <w:r w:rsidRPr="00D9113E">
              <w:rPr>
                <w:b/>
              </w:rPr>
              <w:t>Use of diverse cultural frames of reference and alternative perspectives</w:t>
            </w:r>
          </w:p>
        </w:tc>
        <w:tc>
          <w:tcPr>
            <w:tcW w:w="838" w:type="pct"/>
            <w:shd w:val="clear" w:color="auto" w:fill="auto"/>
          </w:tcPr>
          <w:p w14:paraId="267DCCA9" w14:textId="7C5664D5" w:rsidR="00182C8E" w:rsidRPr="00F11C72" w:rsidRDefault="00182C8E" w:rsidP="00182C8E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Considers only one’s own perspective or uses only one frame of reference when discussing global issues.</w:t>
            </w:r>
          </w:p>
        </w:tc>
        <w:tc>
          <w:tcPr>
            <w:tcW w:w="782" w:type="pct"/>
            <w:shd w:val="clear" w:color="auto" w:fill="auto"/>
          </w:tcPr>
          <w:p w14:paraId="646901C5" w14:textId="2B0A3157" w:rsidR="00182C8E" w:rsidRPr="00F11C72" w:rsidRDefault="00182C8E" w:rsidP="00182C8E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Acknowledges another perspective as well as own or uses at least two frames of reference when discussing global issues.</w:t>
            </w:r>
          </w:p>
        </w:tc>
        <w:tc>
          <w:tcPr>
            <w:tcW w:w="875" w:type="pct"/>
            <w:shd w:val="clear" w:color="auto" w:fill="auto"/>
          </w:tcPr>
          <w:p w14:paraId="2B75C819" w14:textId="2934504E" w:rsidR="00182C8E" w:rsidRPr="00F11C72" w:rsidRDefault="00182C8E" w:rsidP="00182C8E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  <w:r w:rsidRPr="00D9113E">
              <w:t>Considers and applies multiple perspectives and/or frames of reference in addition to one’s own when discussing global issues.</w:t>
            </w:r>
          </w:p>
        </w:tc>
        <w:tc>
          <w:tcPr>
            <w:tcW w:w="844" w:type="pct"/>
          </w:tcPr>
          <w:p w14:paraId="56E40943" w14:textId="403DA64A" w:rsidR="00182C8E" w:rsidRPr="008F0FB8" w:rsidRDefault="00182C8E" w:rsidP="00182C8E">
            <w:pPr>
              <w:rPr>
                <w:rFonts w:cstheme="minorHAnsi"/>
              </w:rPr>
            </w:pPr>
            <w:r w:rsidRPr="00D9113E">
              <w:t>Demonstrates on-going exploration and integration of multiple perspectives and/or frames of reference in addition to one’s own when discussing global issues.</w:t>
            </w:r>
          </w:p>
        </w:tc>
        <w:tc>
          <w:tcPr>
            <w:tcW w:w="501" w:type="pct"/>
          </w:tcPr>
          <w:p w14:paraId="0544352C" w14:textId="77777777" w:rsidR="00182C8E" w:rsidRPr="00F11C72" w:rsidRDefault="00182C8E" w:rsidP="00182C8E">
            <w:pPr>
              <w:rPr>
                <w:rFonts w:cstheme="minorHAnsi"/>
              </w:rPr>
            </w:pPr>
          </w:p>
        </w:tc>
        <w:tc>
          <w:tcPr>
            <w:tcW w:w="561" w:type="pct"/>
            <w:shd w:val="clear" w:color="auto" w:fill="auto"/>
          </w:tcPr>
          <w:p w14:paraId="24B886B1" w14:textId="77777777" w:rsidR="00182C8E" w:rsidRPr="00F11C72" w:rsidRDefault="00182C8E" w:rsidP="00182C8E">
            <w:pPr>
              <w:rPr>
                <w:rFonts w:cstheme="minorHAnsi"/>
              </w:rPr>
            </w:pPr>
          </w:p>
        </w:tc>
      </w:tr>
    </w:tbl>
    <w:p w14:paraId="0B0CAC33" w14:textId="77777777" w:rsidR="00E914E3" w:rsidRDefault="00E914E3"/>
    <w:sectPr w:rsidR="00E914E3" w:rsidSect="009243A9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7550" w14:textId="77777777" w:rsidR="007746F9" w:rsidRDefault="007746F9" w:rsidP="00924880">
      <w:pPr>
        <w:spacing w:after="0" w:line="240" w:lineRule="auto"/>
      </w:pPr>
      <w:r>
        <w:separator/>
      </w:r>
    </w:p>
  </w:endnote>
  <w:endnote w:type="continuationSeparator" w:id="0">
    <w:p w14:paraId="50DFC73A" w14:textId="77777777" w:rsidR="007746F9" w:rsidRDefault="007746F9" w:rsidP="00924880">
      <w:pPr>
        <w:spacing w:after="0" w:line="240" w:lineRule="auto"/>
      </w:pPr>
      <w:r>
        <w:continuationSeparator/>
      </w:r>
    </w:p>
  </w:endnote>
  <w:endnote w:type="continuationNotice" w:id="1">
    <w:p w14:paraId="543C9062" w14:textId="77777777" w:rsidR="007746F9" w:rsidRDefault="00774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17F6" w14:textId="25282C60" w:rsidR="00771A1A" w:rsidRDefault="00771A1A">
    <w:pPr>
      <w:pStyle w:val="Footer"/>
    </w:pPr>
    <w:r>
      <w:t xml:space="preserve">Pilot November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5C3D" w14:textId="77777777" w:rsidR="007746F9" w:rsidRDefault="007746F9" w:rsidP="00924880">
      <w:pPr>
        <w:spacing w:after="0" w:line="240" w:lineRule="auto"/>
      </w:pPr>
      <w:r>
        <w:separator/>
      </w:r>
    </w:p>
  </w:footnote>
  <w:footnote w:type="continuationSeparator" w:id="0">
    <w:p w14:paraId="6ECF8B7B" w14:textId="77777777" w:rsidR="007746F9" w:rsidRDefault="007746F9" w:rsidP="00924880">
      <w:pPr>
        <w:spacing w:after="0" w:line="240" w:lineRule="auto"/>
      </w:pPr>
      <w:r>
        <w:continuationSeparator/>
      </w:r>
    </w:p>
  </w:footnote>
  <w:footnote w:type="continuationNotice" w:id="1">
    <w:p w14:paraId="0F169413" w14:textId="77777777" w:rsidR="007746F9" w:rsidRDefault="007746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2691"/>
    <w:multiLevelType w:val="hybridMultilevel"/>
    <w:tmpl w:val="A1FC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5166"/>
    <w:multiLevelType w:val="hybridMultilevel"/>
    <w:tmpl w:val="BB009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60C85"/>
    <w:multiLevelType w:val="hybridMultilevel"/>
    <w:tmpl w:val="131A3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27722"/>
    <w:multiLevelType w:val="hybridMultilevel"/>
    <w:tmpl w:val="A258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257742">
    <w:abstractNumId w:val="2"/>
  </w:num>
  <w:num w:numId="2" w16cid:durableId="1279604663">
    <w:abstractNumId w:val="0"/>
  </w:num>
  <w:num w:numId="3" w16cid:durableId="928152695">
    <w:abstractNumId w:val="1"/>
  </w:num>
  <w:num w:numId="4" w16cid:durableId="1550458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72"/>
    <w:rsid w:val="0001127D"/>
    <w:rsid w:val="00026621"/>
    <w:rsid w:val="000372F0"/>
    <w:rsid w:val="00045253"/>
    <w:rsid w:val="00050991"/>
    <w:rsid w:val="0008251E"/>
    <w:rsid w:val="000C5769"/>
    <w:rsid w:val="000E0775"/>
    <w:rsid w:val="000E4530"/>
    <w:rsid w:val="0014264B"/>
    <w:rsid w:val="00160833"/>
    <w:rsid w:val="00182049"/>
    <w:rsid w:val="00182C8E"/>
    <w:rsid w:val="0018451B"/>
    <w:rsid w:val="001A422B"/>
    <w:rsid w:val="001C5155"/>
    <w:rsid w:val="00231D87"/>
    <w:rsid w:val="00232557"/>
    <w:rsid w:val="0025602C"/>
    <w:rsid w:val="00271545"/>
    <w:rsid w:val="00282273"/>
    <w:rsid w:val="00297F83"/>
    <w:rsid w:val="002A2658"/>
    <w:rsid w:val="002C4518"/>
    <w:rsid w:val="002D0FD0"/>
    <w:rsid w:val="002D30F9"/>
    <w:rsid w:val="002D5A38"/>
    <w:rsid w:val="002F1F5A"/>
    <w:rsid w:val="002F39E1"/>
    <w:rsid w:val="00321AF9"/>
    <w:rsid w:val="0035072D"/>
    <w:rsid w:val="00352E75"/>
    <w:rsid w:val="00360ACF"/>
    <w:rsid w:val="00391EDE"/>
    <w:rsid w:val="003A13E8"/>
    <w:rsid w:val="003C7A27"/>
    <w:rsid w:val="003D2DF8"/>
    <w:rsid w:val="003F063D"/>
    <w:rsid w:val="00415B40"/>
    <w:rsid w:val="004160A1"/>
    <w:rsid w:val="00443E29"/>
    <w:rsid w:val="00462202"/>
    <w:rsid w:val="00463209"/>
    <w:rsid w:val="004710DD"/>
    <w:rsid w:val="004B7705"/>
    <w:rsid w:val="004D00F1"/>
    <w:rsid w:val="004E001A"/>
    <w:rsid w:val="004E5CC9"/>
    <w:rsid w:val="005046D0"/>
    <w:rsid w:val="0051093E"/>
    <w:rsid w:val="00512EE5"/>
    <w:rsid w:val="00533E11"/>
    <w:rsid w:val="0058499C"/>
    <w:rsid w:val="00584F35"/>
    <w:rsid w:val="005B5C05"/>
    <w:rsid w:val="005C6CFE"/>
    <w:rsid w:val="005D7961"/>
    <w:rsid w:val="00610A33"/>
    <w:rsid w:val="00630AE9"/>
    <w:rsid w:val="00637B25"/>
    <w:rsid w:val="00642E2B"/>
    <w:rsid w:val="00653EF7"/>
    <w:rsid w:val="00657337"/>
    <w:rsid w:val="006655A7"/>
    <w:rsid w:val="00693DD4"/>
    <w:rsid w:val="006C0CBD"/>
    <w:rsid w:val="006E7458"/>
    <w:rsid w:val="006F1D6B"/>
    <w:rsid w:val="006F2103"/>
    <w:rsid w:val="006F2AC7"/>
    <w:rsid w:val="0072533B"/>
    <w:rsid w:val="00734ABD"/>
    <w:rsid w:val="00737C77"/>
    <w:rsid w:val="00742770"/>
    <w:rsid w:val="00746078"/>
    <w:rsid w:val="00771A1A"/>
    <w:rsid w:val="007746F9"/>
    <w:rsid w:val="007C640E"/>
    <w:rsid w:val="007E2D0C"/>
    <w:rsid w:val="007F4AC7"/>
    <w:rsid w:val="00807379"/>
    <w:rsid w:val="00814A1E"/>
    <w:rsid w:val="00817222"/>
    <w:rsid w:val="008442FA"/>
    <w:rsid w:val="00850237"/>
    <w:rsid w:val="008541EF"/>
    <w:rsid w:val="008559ED"/>
    <w:rsid w:val="0087158E"/>
    <w:rsid w:val="008B15CD"/>
    <w:rsid w:val="008D59E5"/>
    <w:rsid w:val="008E2743"/>
    <w:rsid w:val="008E54FB"/>
    <w:rsid w:val="008F0FB8"/>
    <w:rsid w:val="009243A9"/>
    <w:rsid w:val="00924880"/>
    <w:rsid w:val="00937F64"/>
    <w:rsid w:val="00953C4F"/>
    <w:rsid w:val="009721A9"/>
    <w:rsid w:val="00974060"/>
    <w:rsid w:val="00997398"/>
    <w:rsid w:val="009A337B"/>
    <w:rsid w:val="009B04FA"/>
    <w:rsid w:val="009B52BC"/>
    <w:rsid w:val="009B6760"/>
    <w:rsid w:val="009C0701"/>
    <w:rsid w:val="009E6BD1"/>
    <w:rsid w:val="009F0F58"/>
    <w:rsid w:val="00A04D7D"/>
    <w:rsid w:val="00A842D6"/>
    <w:rsid w:val="00A87D62"/>
    <w:rsid w:val="00AA0192"/>
    <w:rsid w:val="00AA6198"/>
    <w:rsid w:val="00AB69E5"/>
    <w:rsid w:val="00AC7E31"/>
    <w:rsid w:val="00AD1D1B"/>
    <w:rsid w:val="00AE75C8"/>
    <w:rsid w:val="00B01314"/>
    <w:rsid w:val="00B1036C"/>
    <w:rsid w:val="00B15043"/>
    <w:rsid w:val="00B15291"/>
    <w:rsid w:val="00B257AA"/>
    <w:rsid w:val="00B362BC"/>
    <w:rsid w:val="00B518A1"/>
    <w:rsid w:val="00B81A7D"/>
    <w:rsid w:val="00BA1C21"/>
    <w:rsid w:val="00BA3DC3"/>
    <w:rsid w:val="00BA67E1"/>
    <w:rsid w:val="00BA7CF1"/>
    <w:rsid w:val="00BB0F8F"/>
    <w:rsid w:val="00BD60BF"/>
    <w:rsid w:val="00BF16B2"/>
    <w:rsid w:val="00C0404B"/>
    <w:rsid w:val="00C11E4A"/>
    <w:rsid w:val="00C33DF6"/>
    <w:rsid w:val="00C46D61"/>
    <w:rsid w:val="00C5521C"/>
    <w:rsid w:val="00CC2E07"/>
    <w:rsid w:val="00CD2C1B"/>
    <w:rsid w:val="00CE7C1C"/>
    <w:rsid w:val="00CF629E"/>
    <w:rsid w:val="00D02A10"/>
    <w:rsid w:val="00D15865"/>
    <w:rsid w:val="00D16F89"/>
    <w:rsid w:val="00D52D8C"/>
    <w:rsid w:val="00D56CAD"/>
    <w:rsid w:val="00D62B65"/>
    <w:rsid w:val="00D63E5A"/>
    <w:rsid w:val="00DE3D25"/>
    <w:rsid w:val="00DF0B74"/>
    <w:rsid w:val="00DF0C64"/>
    <w:rsid w:val="00DF1DBE"/>
    <w:rsid w:val="00E51E1E"/>
    <w:rsid w:val="00E53CBA"/>
    <w:rsid w:val="00E668D6"/>
    <w:rsid w:val="00E75EE3"/>
    <w:rsid w:val="00E90D54"/>
    <w:rsid w:val="00E914E3"/>
    <w:rsid w:val="00E9176A"/>
    <w:rsid w:val="00E919D6"/>
    <w:rsid w:val="00EA4558"/>
    <w:rsid w:val="00EA46C6"/>
    <w:rsid w:val="00EC5B1E"/>
    <w:rsid w:val="00F1032A"/>
    <w:rsid w:val="00F11C72"/>
    <w:rsid w:val="00F1201A"/>
    <w:rsid w:val="00F33032"/>
    <w:rsid w:val="00F35DB1"/>
    <w:rsid w:val="00F4423F"/>
    <w:rsid w:val="00F46453"/>
    <w:rsid w:val="00F4798C"/>
    <w:rsid w:val="00F47BB0"/>
    <w:rsid w:val="00F60CBD"/>
    <w:rsid w:val="00F82DCD"/>
    <w:rsid w:val="00FA6C40"/>
    <w:rsid w:val="00FB5DFA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A003"/>
  <w15:chartTrackingRefBased/>
  <w15:docId w15:val="{06BC0932-5F7B-4FF2-9274-2F468B6D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80"/>
  </w:style>
  <w:style w:type="paragraph" w:styleId="Footer">
    <w:name w:val="footer"/>
    <w:basedOn w:val="Normal"/>
    <w:link w:val="FooterChar"/>
    <w:uiPriority w:val="99"/>
    <w:unhideWhenUsed/>
    <w:rsid w:val="0092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8411-C00F-4FA5-9863-DF3768C1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1411</Words>
  <Characters>8747</Characters>
  <Application>Microsoft Office Word</Application>
  <DocSecurity>0</DocSecurity>
  <Lines>522</Lines>
  <Paragraphs>126</Paragraphs>
  <ScaleCrop>false</ScaleCrop>
  <Company>UNC Wilmington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Bullard, Lea R.</dc:creator>
  <cp:keywords/>
  <dc:description/>
  <cp:lastModifiedBy>Noles, Erica C.</cp:lastModifiedBy>
  <cp:revision>11</cp:revision>
  <dcterms:created xsi:type="dcterms:W3CDTF">2023-11-18T13:32:00Z</dcterms:created>
  <dcterms:modified xsi:type="dcterms:W3CDTF">2023-11-29T17:58:00Z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a0a2c3eb9d582d096f1afa5ee390b32de39220782a6c3c26864571007ecb00e3</vt:lpwstr>
  </property>
</Properties>
</file>